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0D6A0" w14:textId="77777777"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3F991EA0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17EA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66DA67E1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</w:t>
      </w:r>
      <w:proofErr w:type="gramStart"/>
      <w:r>
        <w:t xml:space="preserve">):  </w:t>
      </w:r>
      <w:r w:rsidR="006B7A0F">
        <w:tab/>
      </w:r>
      <w:proofErr w:type="gramEnd"/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17EA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</w:t>
      </w:r>
      <w:proofErr w:type="gramStart"/>
      <w:r w:rsidRPr="00097369">
        <w:rPr>
          <w:bCs/>
        </w:rPr>
        <w:t>):</w:t>
      </w:r>
      <w:r w:rsidRPr="00097369">
        <w:t xml:space="preserve">   </w:t>
      </w:r>
      <w:proofErr w:type="gramEnd"/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176DA4">
        <w:tc>
          <w:tcPr>
            <w:tcW w:w="4077" w:type="dxa"/>
          </w:tcPr>
          <w:p w14:paraId="26CE31BB" w14:textId="1BCFB3C5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4F56AA73" w14:textId="2FAE8E8E" w:rsidR="006B7A0F" w:rsidRDefault="00FF2997" w:rsidP="00176DA4">
            <w:r>
              <w:t>Åslaug Helland</w:t>
            </w:r>
          </w:p>
        </w:tc>
      </w:tr>
      <w:tr w:rsidR="006B7A0F" w14:paraId="03E0F1E9" w14:textId="77777777" w:rsidTr="00176DA4">
        <w:tc>
          <w:tcPr>
            <w:tcW w:w="4077" w:type="dxa"/>
          </w:tcPr>
          <w:p w14:paraId="09A38FBA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5735CB12" w:rsidR="006B7A0F" w:rsidRDefault="00FF2997" w:rsidP="00176DA4">
            <w:r>
              <w:t>Lungekreftforeningen</w:t>
            </w:r>
          </w:p>
        </w:tc>
      </w:tr>
      <w:tr w:rsidR="006B7A0F" w14:paraId="1D778309" w14:textId="77777777" w:rsidTr="00176DA4">
        <w:tc>
          <w:tcPr>
            <w:tcW w:w="4077" w:type="dxa"/>
          </w:tcPr>
          <w:p w14:paraId="67AD3635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2EBDB1DC" w:rsidR="006B7A0F" w:rsidRDefault="00602AC8" w:rsidP="00176DA4">
            <w:r>
              <w:t>Aslaug.helland@gmail.com/95940863</w:t>
            </w:r>
          </w:p>
        </w:tc>
      </w:tr>
      <w:tr w:rsidR="00E800B1" w14:paraId="1C99A643" w14:textId="77777777" w:rsidTr="00176DA4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1F263757" w:rsidR="00E800B1" w:rsidRDefault="00FF2997" w:rsidP="00E800B1">
            <w:r>
              <w:t>10.1.22</w:t>
            </w:r>
          </w:p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proofErr w:type="gramStart"/>
      <w:r>
        <w:t>forslaget</w:t>
      </w:r>
      <w:r w:rsidRPr="00E53575">
        <w:t>:</w:t>
      </w:r>
      <w:r>
        <w:t>*</w:t>
      </w:r>
      <w:proofErr w:type="gramEnd"/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0EAB9815" w:rsidR="00EA5C1A" w:rsidRPr="00FF2997" w:rsidRDefault="00FF2997" w:rsidP="00EA5C1A">
                            <w:proofErr w:type="spellStart"/>
                            <w:r w:rsidRPr="00FF2997">
                              <w:t>Ipi-nivo-kjemo</w:t>
                            </w:r>
                            <w:proofErr w:type="spellEnd"/>
                            <w:r w:rsidRPr="00FF2997">
                              <w:t xml:space="preserve"> for pasienter m</w:t>
                            </w:r>
                            <w:r>
                              <w:t xml:space="preserve">ed PDL1-negativ </w:t>
                            </w:r>
                            <w:proofErr w:type="spellStart"/>
                            <w:r>
                              <w:t>plateepitelcarcinom</w:t>
                            </w:r>
                            <w:proofErr w:type="spellEnd"/>
                            <w:r>
                              <w:t xml:space="preserve"> i lunge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0EAB9815" w:rsidR="00EA5C1A" w:rsidRPr="00FF2997" w:rsidRDefault="00FF2997" w:rsidP="00EA5C1A">
                      <w:r w:rsidRPr="00FF2997">
                        <w:t>Ipi-nivo-kjemo for pasienter m</w:t>
                      </w:r>
                      <w:r>
                        <w:t>ed PDL1-negativ plateepitelcarcinom i lunge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39A45E0E">
                <wp:extent cx="5400000" cy="1949450"/>
                <wp:effectExtent l="0" t="0" r="10795" b="12700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EE6A" w14:textId="26E45B20" w:rsidR="006E5CC6" w:rsidRDefault="006E5CC6" w:rsidP="006E5CC6">
                            <w:r>
                              <w:t xml:space="preserve">Den foreslåtte metoden er behandling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(IPI) i kombinasjon med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(NIVO) og kjemoterapi for pasienter med</w:t>
                            </w:r>
                            <w:r w:rsidRPr="006E5CC6">
                              <w:t xml:space="preserve"> </w:t>
                            </w:r>
                            <w:r>
                              <w:t xml:space="preserve">ikke-kurabel PDL1-negativ </w:t>
                            </w:r>
                            <w:proofErr w:type="spellStart"/>
                            <w:r>
                              <w:t>plateepitelcarcinom</w:t>
                            </w:r>
                            <w:proofErr w:type="spellEnd"/>
                            <w:r>
                              <w:t xml:space="preserve"> i lunge. Denne behandlingen er vist effektiv i for eksempel 9LA-studien.</w:t>
                            </w:r>
                          </w:p>
                          <w:p w14:paraId="62270860" w14:textId="77777777" w:rsidR="006E5CC6" w:rsidRDefault="006E5CC6" w:rsidP="006E5CC6"/>
                          <w:p w14:paraId="425BB030" w14:textId="2F802563" w:rsidR="006E5CC6" w:rsidRDefault="006E5CC6" w:rsidP="006E5CC6"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og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er monoklonale antistoffer som hemmer negative regulatoriske kontrollpunkter i immunsystemet (CTLA4 respektive PD-1) og opphever hemmende signaler som forhindrer en effektiv </w:t>
                            </w:r>
                            <w:proofErr w:type="spellStart"/>
                            <w:r>
                              <w:t>antitumoral</w:t>
                            </w:r>
                            <w:proofErr w:type="spellEnd"/>
                            <w:r>
                              <w:t xml:space="preserve"> immunitet. Dermed oppnås et mer effektivt T-celle mediert drap av kreftceller.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9F37E" id="Tekstboks 2" o:spid="_x0000_s1027" type="#_x0000_t202" style="width:425.2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">
                <v:textbox>
                  <w:txbxContent>
                    <w:p w14:paraId="160DEE6A" w14:textId="26E45B20" w:rsidR="006E5CC6" w:rsidRDefault="006E5CC6" w:rsidP="006E5CC6">
                      <w:r>
                        <w:t xml:space="preserve">Den foreslåtte metoden er behandling med ipilimumab (IPI) i kombinasjon med nivolumab (NIVO) </w:t>
                      </w:r>
                      <w:r>
                        <w:t xml:space="preserve">og kjemoterapi </w:t>
                      </w:r>
                      <w:r>
                        <w:t>for pasienter med</w:t>
                      </w:r>
                      <w:r w:rsidRPr="006E5CC6">
                        <w:t xml:space="preserve"> </w:t>
                      </w:r>
                      <w:r>
                        <w:t>ikke-kurabel PDL1-negativ plateepitelcarcinom i lunge. Denne behandlingen er vist effektiv i for eksempel 9LA-studien.</w:t>
                      </w:r>
                    </w:p>
                    <w:p w14:paraId="62270860" w14:textId="77777777" w:rsidR="006E5CC6" w:rsidRDefault="006E5CC6" w:rsidP="006E5CC6"/>
                    <w:p w14:paraId="425BB030" w14:textId="2F802563" w:rsidR="006E5CC6" w:rsidRDefault="006E5CC6" w:rsidP="006E5CC6">
                      <w:r>
                        <w:t>Ipilimumab og nivolumab er monoklonale antistoffer som hemmer negative regulatoriske kontrollpunkter i immunsystemet (CTLA4 respektive PD-1) og opphever hemmende signaler som forhindrer en effektiv antitumoral immunitet. Dermed oppnås et mer effektivt T-celle mediert drap av kreftceller.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 xml:space="preserve">Gi en kort begrunnelse for hvorfor det er viktig at metodevurderingen som foreslås bør gjennomføres: </w:t>
      </w:r>
    </w:p>
    <w:p w14:paraId="6CB38F75" w14:textId="037DCB0D" w:rsidR="00E800B1" w:rsidRDefault="00E800B1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13B8" w14:textId="032554A9" w:rsidR="006E5CC6" w:rsidRDefault="006E5CC6" w:rsidP="00E800B1">
                            <w:r>
                              <w:t>I dag kan alle pasienter med ikke-kurabel ikke-</w:t>
                            </w:r>
                            <w:proofErr w:type="spellStart"/>
                            <w:r>
                              <w:t>småcellet</w:t>
                            </w:r>
                            <w:proofErr w:type="spellEnd"/>
                            <w:r>
                              <w:t xml:space="preserve"> lungekreft behandles med PD1-hemmeren </w:t>
                            </w:r>
                            <w:proofErr w:type="spellStart"/>
                            <w:r>
                              <w:t>Pembrolizumab</w:t>
                            </w:r>
                            <w:proofErr w:type="spellEnd"/>
                            <w:r>
                              <w:t xml:space="preserve"> kombinert med kjemoterapi. Denne behandlingen har vist seg svært effektiv i kliniske studier. </w:t>
                            </w:r>
                            <w:proofErr w:type="spellStart"/>
                            <w:r>
                              <w:t>Pembrolizumab</w:t>
                            </w:r>
                            <w:proofErr w:type="spellEnd"/>
                            <w:r>
                              <w:t xml:space="preserve"> alene er også godkjent for bruk alene, hos pasienter med høyt PDL1-uttrykk i svulsten. </w:t>
                            </w:r>
                          </w:p>
                          <w:p w14:paraId="4A2D9091" w14:textId="14E96963" w:rsidR="006E5CC6" w:rsidRDefault="006E5CC6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</w:pPr>
                            <w:r>
                              <w:t xml:space="preserve">I den kliniske studien KN407, viser </w:t>
                            </w:r>
                            <w:proofErr w:type="spellStart"/>
                            <w:r>
                              <w:t>subgruppe</w:t>
                            </w:r>
                            <w:proofErr w:type="spellEnd"/>
                            <w:r>
                              <w:t xml:space="preserve">-analyser at effekten er størst hos pasienter med høyt PDL1-uttrykk, selv om effekten kan finnes i alle undergrupper (sammenliknet med kjemoterapi alene). </w:t>
                            </w:r>
                            <w:r w:rsidR="00487139" w:rsidRPr="00487139">
                              <w:t xml:space="preserve">OS-analyser fra denne studien inkluderer 1, som rapportert i artikkelen «A </w:t>
                            </w:r>
                            <w:proofErr w:type="spellStart"/>
                            <w:r w:rsidR="00487139" w:rsidRPr="00487139">
                              <w:t>Randomized</w:t>
                            </w:r>
                            <w:proofErr w:type="spellEnd"/>
                            <w:r w:rsidR="00487139" w:rsidRPr="00487139">
                              <w:t>, Placebo-</w:t>
                            </w:r>
                            <w:proofErr w:type="spellStart"/>
                            <w:r w:rsidR="00487139" w:rsidRPr="00487139">
                              <w:t>Controlled</w:t>
                            </w:r>
                            <w:proofErr w:type="spellEnd"/>
                            <w:r w:rsidR="00487139" w:rsidRPr="00487139">
                              <w:t xml:space="preserve"> Trial </w:t>
                            </w:r>
                            <w:proofErr w:type="spellStart"/>
                            <w:r w:rsidR="00487139" w:rsidRPr="00487139">
                              <w:t>of</w:t>
                            </w:r>
                            <w:proofErr w:type="spellEnd"/>
                            <w:r w:rsidR="00487139" w:rsidRPr="00487139">
                              <w:t xml:space="preserve"> </w:t>
                            </w:r>
                            <w:proofErr w:type="spellStart"/>
                            <w:r w:rsidR="00487139" w:rsidRPr="00487139">
                              <w:t>Pembrolizumab</w:t>
                            </w:r>
                            <w:proofErr w:type="spellEnd"/>
                            <w:r w:rsidR="00487139" w:rsidRPr="00487139">
                              <w:t xml:space="preserve"> Plus </w:t>
                            </w:r>
                            <w:proofErr w:type="spellStart"/>
                            <w:r w:rsidR="00487139" w:rsidRPr="00487139">
                              <w:t>Chemotherapy</w:t>
                            </w:r>
                            <w:proofErr w:type="spellEnd"/>
                            <w:r w:rsidR="00487139" w:rsidRPr="00487139">
                              <w:t xml:space="preserve"> in </w:t>
                            </w:r>
                            <w:proofErr w:type="spellStart"/>
                            <w:proofErr w:type="gramStart"/>
                            <w:r w:rsidR="00487139" w:rsidRPr="00487139">
                              <w:t>Patients</w:t>
                            </w:r>
                            <w:proofErr w:type="spellEnd"/>
                            <w:r w:rsidR="00487139" w:rsidRPr="00487139">
                              <w:t xml:space="preserve">  With</w:t>
                            </w:r>
                            <w:proofErr w:type="gramEnd"/>
                            <w:r w:rsidR="00487139" w:rsidRPr="00487139">
                              <w:t xml:space="preserve"> </w:t>
                            </w:r>
                            <w:proofErr w:type="spellStart"/>
                            <w:r w:rsidR="00487139" w:rsidRPr="00487139">
                              <w:t>Metastatic</w:t>
                            </w:r>
                            <w:proofErr w:type="spellEnd"/>
                            <w:r w:rsidR="00487139" w:rsidRPr="00487139">
                              <w:t xml:space="preserve"> </w:t>
                            </w:r>
                            <w:proofErr w:type="spellStart"/>
                            <w:r w:rsidR="00487139" w:rsidRPr="00487139">
                              <w:t>Squamous</w:t>
                            </w:r>
                            <w:proofErr w:type="spellEnd"/>
                            <w:r w:rsidR="00487139" w:rsidRPr="00487139">
                              <w:t xml:space="preserve"> NSCLC: </w:t>
                            </w:r>
                            <w:proofErr w:type="spellStart"/>
                            <w:r w:rsidR="00487139" w:rsidRPr="00487139">
                              <w:t>Protocol-Specified</w:t>
                            </w:r>
                            <w:proofErr w:type="spellEnd"/>
                            <w:r w:rsidR="00487139" w:rsidRPr="00487139">
                              <w:t xml:space="preserve"> Final Analysis </w:t>
                            </w:r>
                            <w:proofErr w:type="spellStart"/>
                            <w:r w:rsidR="00487139" w:rsidRPr="00487139">
                              <w:t>of</w:t>
                            </w:r>
                            <w:proofErr w:type="spellEnd"/>
                            <w:r w:rsidR="00487139" w:rsidRPr="00487139">
                              <w:t xml:space="preserve"> KEYNOTE-407 , av </w:t>
                            </w:r>
                            <w:r w:rsidR="00487139"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Luis Paz-Ares og medarbeider</w:t>
                            </w:r>
                            <w:r w:rsid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e. </w:t>
                            </w:r>
                          </w:p>
                          <w:p w14:paraId="597CA6CC" w14:textId="510005DD" w:rsidR="00487139" w:rsidRPr="00487139" w:rsidRDefault="00487139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I studien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Checkpoint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9LA, viste de at pasienter behandlet med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ipi-nivo-kjemo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hadde en OS på </w:t>
                            </w:r>
                            <w:proofErr w:type="gram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14.1 ,</w:t>
                            </w:r>
                            <w:proofErr w:type="gram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og HR på 0.69 (0.55-0.87). </w:t>
                            </w:r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(First-line </w:t>
                            </w:r>
                            <w:proofErr w:type="spellStart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nivolumab</w:t>
                            </w:r>
                            <w:proofErr w:type="spellEnd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 plus </w:t>
                            </w:r>
                            <w:proofErr w:type="spellStart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ipilimumab</w:t>
                            </w:r>
                            <w:proofErr w:type="spellEnd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 combined with two cycles of chemotherapy in patients with non-small-cell lung cancer (</w:t>
                            </w:r>
                            <w:proofErr w:type="spellStart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CheckMate</w:t>
                            </w:r>
                            <w:proofErr w:type="spellEnd"/>
                            <w:r w:rsidRP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 9LA): an international, randomised, open-label, phase 3 trial</w:t>
                            </w: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, Luis Paz-Ares </w:t>
                            </w:r>
                            <w:proofErr w:type="gram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og</w:t>
                            </w:r>
                            <w:proofErr w:type="gram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medarbeidere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LancetOncology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 w:rsidR="00F54E77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76ECFD1B" w14:textId="2283D450" w:rsidR="00487139" w:rsidRDefault="00487139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KN407 hadde ikke mange nok inkluderte til å ha god styrke til slike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subgruppeanalyser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, og sammenlikning må gjøres med varsomhet.</w:t>
                            </w:r>
                          </w:p>
                          <w:p w14:paraId="3674BF2E" w14:textId="37D71171" w:rsidR="00F54E77" w:rsidRDefault="00F54E77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</w:pPr>
                          </w:p>
                          <w:p w14:paraId="50C4EBB3" w14:textId="4E02F24C" w:rsidR="00F54E77" w:rsidRDefault="00F54E77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Det er bivirkninger med kjemoterapi, som er i begge behandlingsoppleggene. Opplegget i KN407 inneholder mer kjemoterapi (mer langvarig behandling) enn 9LA-opplegget. Det er noe mer bivirkninger med å legge CTLA4-</w:t>
                            </w:r>
                            <w:proofErr w:type="gram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inhibitoren 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ipilimumab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til PD1-inhibitoren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nivolumab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. Dosene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ipi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som brukes i lungekreft</w:t>
                            </w:r>
                          </w:p>
                          <w:p w14:paraId="66860726" w14:textId="5BD9E3AB" w:rsidR="00F54E77" w:rsidRDefault="00F54E77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Er lavere enn dosen </w:t>
                            </w:r>
                            <w:proofErr w:type="spellStart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ipilimumab</w:t>
                            </w:r>
                            <w:proofErr w:type="spellEnd"/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som brukes i melanom, og bivirkningene er derfor noe mindre. </w:t>
                            </w:r>
                          </w:p>
                          <w:p w14:paraId="67C81FEE" w14:textId="79759AE3" w:rsidR="00E800B1" w:rsidRPr="00FF2997" w:rsidRDefault="00F54E77" w:rsidP="0048713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>Det er</w:t>
                            </w:r>
                            <w:r w:rsidR="00487139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</w:rPr>
                              <w:t xml:space="preserve"> grunn til å tro at </w:t>
                            </w:r>
                            <w:r w:rsidR="00FF2997" w:rsidRPr="00FF2997">
                              <w:t xml:space="preserve">pasientgruppen </w:t>
                            </w:r>
                            <w:r>
                              <w:t xml:space="preserve">med </w:t>
                            </w:r>
                            <w:r w:rsidR="00487139">
                              <w:t xml:space="preserve">ikke kurabel </w:t>
                            </w:r>
                            <w:r>
                              <w:t xml:space="preserve">PDL1-negativ </w:t>
                            </w:r>
                            <w:proofErr w:type="spellStart"/>
                            <w:r w:rsidR="00487139">
                              <w:t>plateepitelcarci</w:t>
                            </w:r>
                            <w:r>
                              <w:t>n</w:t>
                            </w:r>
                            <w:r w:rsidR="00487139">
                              <w:t>om</w:t>
                            </w:r>
                            <w:proofErr w:type="spellEnd"/>
                            <w:r w:rsidR="00487139">
                              <w:t xml:space="preserve"> </w:t>
                            </w:r>
                            <w:r>
                              <w:t xml:space="preserve">i </w:t>
                            </w:r>
                            <w:r w:rsidR="00487139">
                              <w:t>lunge vil ha nytte av</w:t>
                            </w:r>
                            <w:r w:rsidR="00FF2997">
                              <w:t xml:space="preserve"> kombinasjonen </w:t>
                            </w:r>
                            <w:proofErr w:type="spellStart"/>
                            <w:r w:rsidR="00FF2997">
                              <w:t>ipi-nivo-kjemo</w:t>
                            </w:r>
                            <w:proofErr w:type="spellEnd"/>
                            <w:r w:rsidR="002F603A">
                              <w:t xml:space="preserve">, og vi ber om at denne kombinasjonen kan benyttes som et alternativ i første </w:t>
                            </w:r>
                            <w:proofErr w:type="gramStart"/>
                            <w:r w:rsidR="002F603A">
                              <w:t>linje</w:t>
                            </w:r>
                            <w:r w:rsidR="00FF2997">
                              <w:t xml:space="preserve"> </w:t>
                            </w:r>
                            <w:r w:rsidR="002F603A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5F7413B8" w14:textId="032554A9" w:rsidR="006E5CC6" w:rsidRDefault="006E5CC6" w:rsidP="00E800B1">
                      <w:r>
                        <w:t xml:space="preserve">I dag kan alle pasienter med ikke-kurabel ikke-småcellet lungekreft behandles med PD1-hemmeren Pembrolizumab kombinert med kjemoterapi. Denne behandlingen har vist seg svært effektiv i kliniske studier. Pembrolizumab alene er også godkjent for bruk alene, hos pasienter med høyt PDL1-uttrykk i svulsten. </w:t>
                      </w:r>
                    </w:p>
                    <w:p w14:paraId="4A2D9091" w14:textId="14E96963" w:rsidR="006E5CC6" w:rsidRDefault="006E5CC6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</w:pPr>
                      <w:r>
                        <w:t xml:space="preserve">I den kliniske studien KN407, viser subgruppe-analyser at effekten er størst hos pasienter med høyt PDL1-uttrykk, selv om effekten kan finnes i alle undergrupper (sammenliknet med kjemoterapi alene). </w:t>
                      </w:r>
                      <w:r w:rsidR="00487139" w:rsidRPr="00487139">
                        <w:t>OS-analyser fra denne studien inkluderer 1, som rapportert i artikkelen «</w:t>
                      </w:r>
                      <w:r w:rsidR="00487139" w:rsidRPr="00487139">
                        <w:t>A Randomized, Placebo-Controlled Trial of</w:t>
                      </w:r>
                      <w:r w:rsidR="00487139" w:rsidRPr="00487139">
                        <w:t xml:space="preserve"> </w:t>
                      </w:r>
                      <w:r w:rsidR="00487139" w:rsidRPr="00487139">
                        <w:t>Pembrolizumab Plus Chemotherapy in Patients</w:t>
                      </w:r>
                      <w:r w:rsidR="00487139" w:rsidRPr="00487139">
                        <w:t xml:space="preserve">  </w:t>
                      </w:r>
                      <w:r w:rsidR="00487139" w:rsidRPr="00487139">
                        <w:t>With Metastatic Squamous NSCLC: Protocol-Specified Final Analysis of KEYNOTE-407</w:t>
                      </w:r>
                      <w:r w:rsidR="00487139" w:rsidRPr="00487139">
                        <w:t xml:space="preserve"> , av </w:t>
                      </w:r>
                      <w:r w:rsidR="00487139" w:rsidRPr="00487139"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>Luis Paz-Ares</w:t>
                      </w:r>
                      <w:r w:rsidR="00487139" w:rsidRPr="00487139"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 xml:space="preserve"> og medarbeider</w:t>
                      </w:r>
                      <w:r w:rsidR="00487139"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 xml:space="preserve">e. </w:t>
                      </w:r>
                    </w:p>
                    <w:p w14:paraId="597CA6CC" w14:textId="510005DD" w:rsidR="00487139" w:rsidRPr="00487139" w:rsidRDefault="00487139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 xml:space="preserve">I studien Checkpoint 9LA, viste de at pasienter behandlet med ipi-nivo-kjemo hadde en OS på 14.1 , og HR på 0.69 (0.55-0.87). </w:t>
                      </w:r>
                      <w:r w:rsidRPr="00487139"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>(</w:t>
                      </w:r>
                      <w:r w:rsidRPr="00487139"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>First-line nivolumab plus ipilimumab combined with two cycles of chemotherapy in patients with non-small-cell lung cancer (CheckMate 9LA): an international, randomised, open-label, phase 3 trial</w:t>
                      </w: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>, Luis Paz-Ares og medarbeidere, LancetOncology)</w:t>
                      </w:r>
                      <w:r w:rsidR="00F54E77"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76ECFD1B" w14:textId="2283D450" w:rsidR="00487139" w:rsidRDefault="00487139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</w:pP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>KN407 hadde ikke mange nok inkluderte til å ha god styrke til slike subgruppeanalyser, og sammenlikning må gjøres med varsomhet.</w:t>
                      </w:r>
                    </w:p>
                    <w:p w14:paraId="3674BF2E" w14:textId="37D71171" w:rsidR="00F54E77" w:rsidRDefault="00F54E77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</w:pPr>
                    </w:p>
                    <w:p w14:paraId="50C4EBB3" w14:textId="4E02F24C" w:rsidR="00F54E77" w:rsidRDefault="00F54E77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</w:pP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>Det er bivirkninger med kjemoterapi, som er i begge behandlingsoppleggene. Opplegget i KN407 inneholder mer kjemoterapi (mer langvarig behandling) enn 9LA-opplegget. Det er noe mer bivirkninger med å legge CTLA4-inhibitoren  ipilimumab til PD1-inhibitoren nivolumab. Dosene ipi som brukes i lungekreft</w:t>
                      </w:r>
                    </w:p>
                    <w:p w14:paraId="66860726" w14:textId="5BD9E3AB" w:rsidR="00F54E77" w:rsidRDefault="00F54E77" w:rsidP="0048713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</w:pP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 xml:space="preserve">Er lavere enn dosen ipilimumab som brukes i melanom, og bivirkningene er derfor noe mindre. </w:t>
                      </w:r>
                    </w:p>
                    <w:p w14:paraId="67C81FEE" w14:textId="79759AE3" w:rsidR="00E800B1" w:rsidRPr="00FF2997" w:rsidRDefault="00F54E77" w:rsidP="00487139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>Det er</w:t>
                      </w:r>
                      <w:r w:rsidR="00487139">
                        <w:rPr>
                          <w:rFonts w:ascii="AdvTTc9c3bd71" w:hAnsi="AdvTTc9c3bd71" w:cs="AdvTTc9c3bd71"/>
                          <w:sz w:val="24"/>
                          <w:szCs w:val="24"/>
                        </w:rPr>
                        <w:t xml:space="preserve"> grunn til å tro at </w:t>
                      </w:r>
                      <w:r w:rsidR="00FF2997" w:rsidRPr="00FF2997">
                        <w:t xml:space="preserve">pasientgruppen </w:t>
                      </w:r>
                      <w:r>
                        <w:t xml:space="preserve">med </w:t>
                      </w:r>
                      <w:r w:rsidR="00487139">
                        <w:t xml:space="preserve">ikke kurabel </w:t>
                      </w:r>
                      <w:r>
                        <w:t xml:space="preserve">PDL1-negativ </w:t>
                      </w:r>
                      <w:r w:rsidR="00487139">
                        <w:t>plateepitelcarci</w:t>
                      </w:r>
                      <w:r>
                        <w:t>n</w:t>
                      </w:r>
                      <w:r w:rsidR="00487139">
                        <w:t xml:space="preserve">om </w:t>
                      </w:r>
                      <w:r>
                        <w:t xml:space="preserve">i </w:t>
                      </w:r>
                      <w:r w:rsidR="00487139">
                        <w:t>lunge vil ha nytte av</w:t>
                      </w:r>
                      <w:r w:rsidR="00FF2997">
                        <w:t xml:space="preserve"> kombinasjonen ipi-nivo-kjemo</w:t>
                      </w:r>
                      <w:r w:rsidR="002F603A">
                        <w:t>, og vi ber om at denne kombinasjonen kan benyttes som et alternativ i første linje</w:t>
                      </w:r>
                      <w:r w:rsidR="00FF2997">
                        <w:t xml:space="preserve"> </w:t>
                      </w:r>
                      <w:r w:rsidR="002F603A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Default="00E800B1">
      <w:pPr>
        <w:spacing w:after="200" w:line="276" w:lineRule="auto"/>
      </w:pPr>
      <w:r>
        <w:br w:type="page"/>
      </w: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lastRenderedPageBreak/>
        <w:t>Foreslå hva som bør være hovedproblemstilling(er) for metodevurderingen, samt eventuelle underproblemstillinger. For deg som er kjent med «PICO (</w:t>
      </w:r>
      <w:proofErr w:type="spellStart"/>
      <w:r w:rsidRPr="00E800B1">
        <w:t>Patient</w:t>
      </w:r>
      <w:proofErr w:type="spellEnd"/>
      <w:r w:rsidRPr="00E800B1">
        <w:t xml:space="preserve">, </w:t>
      </w:r>
      <w:proofErr w:type="spellStart"/>
      <w:r w:rsidRPr="00E800B1">
        <w:t>Intervention</w:t>
      </w:r>
      <w:proofErr w:type="spellEnd"/>
      <w:r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Pr="00E800B1">
        <w:t xml:space="preserve"> inkluder gjerne tentativt forslag til </w:t>
      </w:r>
      <w:proofErr w:type="gramStart"/>
      <w:r w:rsidRPr="00E800B1">
        <w:t>PICO.*</w:t>
      </w:r>
      <w:proofErr w:type="gramEnd"/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BA28" w14:textId="77777777" w:rsidR="00F54E77" w:rsidRDefault="00F54E77" w:rsidP="00F54E77">
                            <w:pPr>
                              <w:ind w:left="1416" w:hanging="1416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>opulation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Patienter</w:t>
                            </w:r>
                            <w:proofErr w:type="spellEnd"/>
                            <w:r>
                              <w:t xml:space="preserve"> med ikke kurabel </w:t>
                            </w:r>
                            <w:proofErr w:type="spellStart"/>
                            <w:r>
                              <w:t>plateepitelcarcinom</w:t>
                            </w:r>
                            <w:proofErr w:type="spellEnd"/>
                            <w:r>
                              <w:t xml:space="preserve"> lunge, PDL1 negativ, førstelinjes behandling</w:t>
                            </w:r>
                          </w:p>
                          <w:p w14:paraId="44F5227D" w14:textId="4542F5DD" w:rsidR="00F54E77" w:rsidRDefault="00F54E77" w:rsidP="00F54E77">
                            <w:pPr>
                              <w:ind w:left="1416" w:hanging="1416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t>ntervention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  <w:t xml:space="preserve">Førstelinjes immunterapi med </w:t>
                            </w:r>
                            <w:proofErr w:type="spellStart"/>
                            <w:r>
                              <w:t>ipilimumab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nivolumab</w:t>
                            </w:r>
                            <w:proofErr w:type="spellEnd"/>
                            <w:r>
                              <w:t xml:space="preserve"> +kjemoterapi</w:t>
                            </w:r>
                          </w:p>
                          <w:p w14:paraId="5D2CD9A8" w14:textId="6322B33C" w:rsidR="00F54E77" w:rsidRDefault="00F54E77" w:rsidP="00F54E77">
                            <w:pPr>
                              <w:ind w:left="1416" w:hanging="1416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t>omparator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  <w:t xml:space="preserve">Førstelinjes immunterapi med </w:t>
                            </w:r>
                            <w:proofErr w:type="spellStart"/>
                            <w:r>
                              <w:t>pembrolizumab</w:t>
                            </w:r>
                            <w:proofErr w:type="spellEnd"/>
                            <w:r>
                              <w:t xml:space="preserve"> +kjemoterapi</w:t>
                            </w:r>
                          </w:p>
                          <w:p w14:paraId="236A2E79" w14:textId="1CA6E8C3" w:rsidR="00F54E77" w:rsidRDefault="00F54E77" w:rsidP="00F54E77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t>utcome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  <w:t xml:space="preserve">Objektiv respons rate, progresjonsfri overlevelse, totaloverlevelse </w:t>
                            </w:r>
                          </w:p>
                          <w:p w14:paraId="21E6C9F7" w14:textId="4B2A6A05" w:rsidR="00595D4D" w:rsidRDefault="00595D4D" w:rsidP="00595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d0tiE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7F02BA28" w14:textId="77777777" w:rsidR="00F54E77" w:rsidRDefault="00F54E77" w:rsidP="00F54E77">
                      <w:pPr>
                        <w:ind w:left="1416" w:hanging="1416"/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t xml:space="preserve">opulation </w:t>
                      </w:r>
                      <w:r>
                        <w:tab/>
                        <w:t xml:space="preserve">Patienter med </w:t>
                      </w:r>
                      <w:r>
                        <w:t>ikke kurabel plateepitelcarcinom lunge, PDL1 negativ, førstelinjes behandling</w:t>
                      </w:r>
                    </w:p>
                    <w:p w14:paraId="44F5227D" w14:textId="4542F5DD" w:rsidR="00F54E77" w:rsidRDefault="00F54E77" w:rsidP="00F54E77">
                      <w:pPr>
                        <w:ind w:left="1416" w:hanging="1416"/>
                      </w:pPr>
                      <w:r>
                        <w:rPr>
                          <w:b/>
                          <w:bCs/>
                        </w:rPr>
                        <w:t>I</w:t>
                      </w:r>
                      <w:r>
                        <w:t xml:space="preserve">ntervention </w:t>
                      </w:r>
                      <w:r>
                        <w:tab/>
                      </w:r>
                      <w:r>
                        <w:t>Første</w:t>
                      </w:r>
                      <w:r>
                        <w:t>linjes immunterapi med ipilimumab + nivolumab</w:t>
                      </w:r>
                      <w:r>
                        <w:t xml:space="preserve"> +kjemoterapi</w:t>
                      </w:r>
                    </w:p>
                    <w:p w14:paraId="5D2CD9A8" w14:textId="6322B33C" w:rsidR="00F54E77" w:rsidRDefault="00F54E77" w:rsidP="00F54E77">
                      <w:pPr>
                        <w:ind w:left="1416" w:hanging="1416"/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>
                        <w:t xml:space="preserve">omparator </w:t>
                      </w:r>
                      <w:r>
                        <w:tab/>
                        <w:t xml:space="preserve">Førstelinjes immunterapi med </w:t>
                      </w:r>
                      <w:r>
                        <w:t>pembrolizumab</w:t>
                      </w:r>
                      <w:r>
                        <w:t xml:space="preserve"> +kjemoterapi</w:t>
                      </w:r>
                    </w:p>
                    <w:p w14:paraId="236A2E79" w14:textId="1CA6E8C3" w:rsidR="00F54E77" w:rsidRDefault="00F54E77" w:rsidP="00F54E77"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t xml:space="preserve">utcome </w:t>
                      </w:r>
                      <w:r>
                        <w:tab/>
                        <w:t xml:space="preserve">Objektiv respons rate, progresjonsfri overlevelse, totaloverlevelse </w:t>
                      </w:r>
                    </w:p>
                    <w:p w14:paraId="21E6C9F7" w14:textId="4B2A6A05" w:rsidR="00595D4D" w:rsidRDefault="00595D4D" w:rsidP="00595D4D"/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proofErr w:type="spellStart"/>
      <w:r w:rsidRPr="00E800B1">
        <w:rPr>
          <w:sz w:val="16"/>
          <w:szCs w:val="16"/>
        </w:rPr>
        <w:t>Population</w:t>
      </w:r>
      <w:proofErr w:type="spellEnd"/>
      <w:r w:rsidRPr="00E800B1">
        <w:rPr>
          <w:sz w:val="16"/>
          <w:szCs w:val="16"/>
        </w:rPr>
        <w:t xml:space="preserve">/Problem – </w:t>
      </w:r>
      <w:proofErr w:type="spellStart"/>
      <w:r w:rsidRPr="00E800B1">
        <w:rPr>
          <w:sz w:val="16"/>
          <w:szCs w:val="16"/>
        </w:rPr>
        <w:t>Intervention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Comparison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Outcome</w:t>
      </w:r>
      <w:proofErr w:type="spellEnd"/>
      <w:r w:rsidRPr="00E800B1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41E9AFF9" w:rsidR="00EA5C1A" w:rsidRDefault="00F54E77" w:rsidP="00EA5C1A">
                            <w:r w:rsidRPr="00F54E77">
                              <w:t>Immunterapi (</w:t>
                            </w:r>
                            <w:proofErr w:type="spellStart"/>
                            <w:r w:rsidRPr="00F54E77">
                              <w:t>pembrolizumab</w:t>
                            </w:r>
                            <w:proofErr w:type="spellEnd"/>
                            <w:r w:rsidRPr="00F54E77">
                              <w:t>) kombinert med kjemoterapi e</w:t>
                            </w:r>
                            <w:r>
                              <w:t xml:space="preserve">r i dag standard behandling. </w:t>
                            </w:r>
                          </w:p>
                          <w:p w14:paraId="3D10B2F5" w14:textId="60AE8727" w:rsidR="00F54E77" w:rsidRPr="00F54E77" w:rsidRDefault="00F54E77" w:rsidP="00EA5C1A">
                            <w:r>
                              <w:t xml:space="preserve">Denne foreslåtte metoden med </w:t>
                            </w:r>
                            <w:proofErr w:type="spellStart"/>
                            <w:proofErr w:type="gramStart"/>
                            <w:r>
                              <w:t>ipi</w:t>
                            </w:r>
                            <w:proofErr w:type="spellEnd"/>
                            <w:r>
                              <w:t>.-</w:t>
                            </w:r>
                            <w:proofErr w:type="spellStart"/>
                            <w:proofErr w:type="gramEnd"/>
                            <w:r>
                              <w:t>nivo-kjemo</w:t>
                            </w:r>
                            <w:proofErr w:type="spellEnd"/>
                            <w:r>
                              <w:t xml:space="preserve"> foreslås som et alternativ til dagens behandling med </w:t>
                            </w:r>
                            <w:proofErr w:type="spellStart"/>
                            <w:r>
                              <w:t>pembro-kjemo</w:t>
                            </w:r>
                            <w:proofErr w:type="spellEnd"/>
                            <w:r>
                              <w:t xml:space="preserve"> som førstelinjes behandling, og at legen kan diskutere mulige gevinster og bivirkninger med pasienter før behandling startes.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41E9AFF9" w:rsidR="00EA5C1A" w:rsidRDefault="00F54E77" w:rsidP="00EA5C1A">
                      <w:r w:rsidRPr="00F54E77">
                        <w:t>Immunterapi (pembrolizumab) kombinert med kjemoterapi e</w:t>
                      </w:r>
                      <w:r>
                        <w:t xml:space="preserve">r i dag standard behandling. </w:t>
                      </w:r>
                    </w:p>
                    <w:p w14:paraId="3D10B2F5" w14:textId="60AE8727" w:rsidR="00F54E77" w:rsidRPr="00F54E77" w:rsidRDefault="00F54E77" w:rsidP="00EA5C1A">
                      <w:r>
                        <w:t xml:space="preserve">Denne foreslåtte metoden med ipi.-nivo-kjemo foreslås som et alternativ til dagens behandling med pembro-kjemo som førstelinjes behandling, og at legen kan diskutere mulige gevinster og bivirkninger med pasienter før behandling startes.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 xml:space="preserve">Forslaget </w:t>
      </w:r>
      <w:proofErr w:type="gramStart"/>
      <w:r>
        <w:t>gjelder:</w:t>
      </w:r>
      <w:r w:rsidR="00EA5C1A">
        <w:tab/>
      </w:r>
      <w:proofErr w:type="gramEnd"/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0C452B03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2AAF3C72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2225958E" w14:textId="08EE90DB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4FE62C96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3FDB0D8E" w14:textId="36A0DBC3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5658004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51A3E1D8" w14:textId="3F1A990B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628011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171BEC78" w14:textId="113E2571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254B78A2" w14:textId="62B6B3B1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2C64E791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749AECA5" w:rsidR="00E800B1" w:rsidRPr="002F603A" w:rsidRDefault="002F603A" w:rsidP="00E800B1">
                            <w:r w:rsidRPr="002F603A">
                              <w:t>Met</w:t>
                            </w:r>
                            <w:r>
                              <w:t>od</w:t>
                            </w:r>
                            <w:r w:rsidRPr="002F603A">
                              <w:t>en brukes I mange andre l</w:t>
                            </w:r>
                            <w:r>
                              <w:t>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693D64"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Ot2/eEpAgAATQQAAA4AAAAAAAAAAAAAAAAALgIAAGRycy9lMm9E&#10;b2MueG1sUEsBAi0AFAAGAAgAAAAhAH711/jcAAAABAEAAA8AAAAAAAAAAAAAAAAAgwQAAGRycy9k&#10;b3ducmV2LnhtbFBLBQYAAAAABAAEAPMAAACMBQAAAAA=&#10;">
                <v:textbox>
                  <w:txbxContent>
                    <w:p w14:paraId="5A30B47E" w14:textId="749AECA5" w:rsidR="00E800B1" w:rsidRPr="002F603A" w:rsidRDefault="002F603A" w:rsidP="00E800B1">
                      <w:r w:rsidRPr="002F603A">
                        <w:t>Met</w:t>
                      </w:r>
                      <w:r>
                        <w:t>od</w:t>
                      </w:r>
                      <w:r w:rsidRPr="002F603A">
                        <w:t>en brukes I mange andre l</w:t>
                      </w:r>
                      <w:r>
                        <w:t>and.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640C712F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lastRenderedPageBreak/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77777777"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0C5E91A5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7326F515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7326F515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3EF36CBB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43B7EE78" w:rsidR="0062390D" w:rsidRPr="00753DC1" w:rsidRDefault="0062390D" w:rsidP="00097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43B7EE78" w:rsidR="0062390D" w:rsidRPr="00753DC1" w:rsidRDefault="0062390D" w:rsidP="00097369"/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3F756992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659C613B" w:rsidR="00EA5C1A" w:rsidRPr="002F603A" w:rsidRDefault="002F603A" w:rsidP="00EA5C1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Onkologi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48C43AC" w14:textId="659C613B" w:rsidR="00EA5C1A" w:rsidRPr="002F603A" w:rsidRDefault="002F603A" w:rsidP="00EA5C1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Onkologi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>vurderingen? (</w:t>
      </w:r>
      <w:proofErr w:type="gramStart"/>
      <w:r w:rsidRPr="00B30373">
        <w:t>flere</w:t>
      </w:r>
      <w:proofErr w:type="gramEnd"/>
      <w:r w:rsidRPr="00B30373">
        <w:t xml:space="preserve"> kryss mulig) </w:t>
      </w:r>
    </w:p>
    <w:p w14:paraId="5911BAB2" w14:textId="47AEC20E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183428EA" w14:textId="324579EB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24126237" w14:textId="268AC775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704E9D36" w14:textId="25356150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77777777" w:rsidR="00EA5C1A" w:rsidRPr="00B30373" w:rsidRDefault="00EA5C1A" w:rsidP="00EA5C1A">
      <w:pPr>
        <w:pStyle w:val="Ingenmellomrom"/>
      </w:pPr>
      <w:r w:rsidRPr="00B30373">
        <w:lastRenderedPageBreak/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CF074E6" w14:textId="1C5DB1B2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03A">
            <w:rPr>
              <w:rFonts w:ascii="MS Gothic" w:eastAsia="MS Gothic" w:hAnsi="MS Gothic" w:hint="eastAsia"/>
            </w:rPr>
            <w:t>☒</w:t>
          </w:r>
        </w:sdtContent>
      </w:sdt>
    </w:p>
    <w:p w14:paraId="5FC17CCF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58095A96" w:rsidR="00EA5C1A" w:rsidRPr="002F603A" w:rsidRDefault="002F603A" w:rsidP="00EA5C1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Alvorlig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dødelig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tilstand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3JC3L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BE4804B" w14:textId="58095A96" w:rsidR="00EA5C1A" w:rsidRPr="002F603A" w:rsidRDefault="002F603A" w:rsidP="00EA5C1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Alvorlig, dødelig tilstand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06B7DB0A" w:rsidR="00EA5C1A" w:rsidRDefault="002F603A" w:rsidP="00EA5C1A">
                            <w:r w:rsidRPr="002F603A">
                              <w:t>Noen pasienter har god og l</w:t>
                            </w:r>
                            <w:r>
                              <w:t>angvarig effekt – forlenget liv.</w:t>
                            </w:r>
                          </w:p>
                          <w:p w14:paraId="565AC45B" w14:textId="77777777" w:rsidR="002F603A" w:rsidRPr="002F603A" w:rsidRDefault="002F603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kxLzE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06B7DB0A" w:rsidR="00EA5C1A" w:rsidRDefault="002F603A" w:rsidP="00EA5C1A">
                      <w:r w:rsidRPr="002F603A">
                        <w:t>Noen pasienter har god og l</w:t>
                      </w:r>
                      <w:r>
                        <w:t>angvarig effekt – forlenget liv.</w:t>
                      </w:r>
                    </w:p>
                    <w:p w14:paraId="565AC45B" w14:textId="77777777" w:rsidR="002F603A" w:rsidRPr="002F603A" w:rsidRDefault="002F603A" w:rsidP="00EA5C1A"/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0428" w14:textId="77777777" w:rsidR="002F603A" w:rsidRDefault="002F603A" w:rsidP="002F603A">
                            <w:pPr>
                              <w:jc w:val="both"/>
                            </w:pPr>
                            <w:r>
                              <w:t xml:space="preserve">Immunterapi med kan gi inflammatoriske eller </w:t>
                            </w:r>
                            <w:proofErr w:type="spellStart"/>
                            <w:r>
                              <w:t>autoimmune</w:t>
                            </w:r>
                            <w:proofErr w:type="spellEnd"/>
                            <w:r>
                              <w:t xml:space="preserve"> bivirkninger, som i prinsipp kan ramme alle organsystemer og bli alvorlige. Med korrekt håndtering vil de fleste gå over. </w:t>
                            </w:r>
                          </w:p>
                          <w:p w14:paraId="1B006998" w14:textId="60E8F35A" w:rsidR="002F603A" w:rsidRDefault="002F603A" w:rsidP="002F603A">
                            <w:pPr>
                              <w:jc w:val="both"/>
                            </w:pPr>
                            <w:r>
                              <w:t>Sikkerheten av behandling med IPI-NIVO-</w:t>
                            </w:r>
                            <w:proofErr w:type="spellStart"/>
                            <w:r>
                              <w:t>kjemo</w:t>
                            </w:r>
                            <w:proofErr w:type="spellEnd"/>
                            <w:r>
                              <w:t xml:space="preserve"> er studert i den kliniske studien Checvkmate-9LA i første linje. </w:t>
                            </w:r>
                            <w:r w:rsidR="00AB3DF9">
                              <w:t>Seriøse bivirkninger (SAE) ble sett i 30% av pasientene i behandling</w:t>
                            </w:r>
                            <w:r>
                              <w:t xml:space="preserve">. </w:t>
                            </w:r>
                          </w:p>
                          <w:p w14:paraId="7B922F6E" w14:textId="7317B1A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pFzVj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5F640428" w14:textId="77777777" w:rsidR="002F603A" w:rsidRDefault="002F603A" w:rsidP="002F603A">
                      <w:pPr>
                        <w:jc w:val="both"/>
                      </w:pPr>
                      <w:r>
                        <w:t xml:space="preserve">Immunterapi med kan gi inflammatoriske eller autoimmune bivirkninger, som i prinsipp kan ramme alle organsystemer og bli alvorlige. Med korrekt håndtering vil de fleste gå over. </w:t>
                      </w:r>
                    </w:p>
                    <w:p w14:paraId="1B006998" w14:textId="60E8F35A" w:rsidR="002F603A" w:rsidRDefault="002F603A" w:rsidP="002F603A">
                      <w:pPr>
                        <w:jc w:val="both"/>
                      </w:pPr>
                      <w:r>
                        <w:t>Sikkerheten av behandling med IPI</w:t>
                      </w:r>
                      <w:r>
                        <w:t>-</w:t>
                      </w:r>
                      <w:r>
                        <w:t>NIVO</w:t>
                      </w:r>
                      <w:r>
                        <w:t>-kjemo</w:t>
                      </w:r>
                      <w:r>
                        <w:t xml:space="preserve"> er studert i </w:t>
                      </w:r>
                      <w:r>
                        <w:t>den kliniske studien Checvkmate-9LA</w:t>
                      </w:r>
                      <w:r>
                        <w:t xml:space="preserve"> i første linje. </w:t>
                      </w:r>
                      <w:r w:rsidR="00AB3DF9">
                        <w:t>Seriøse bivirkninger (SAE) ble sett i 30% av pasientene i behandling</w:t>
                      </w:r>
                      <w:r>
                        <w:t xml:space="preserve">. </w:t>
                      </w:r>
                    </w:p>
                    <w:p w14:paraId="7B922F6E" w14:textId="7317B1A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059CB793" w:rsidR="00EA5C1A" w:rsidRPr="00E94AEB" w:rsidRDefault="00D13175" w:rsidP="00EA5C1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20-30</w:t>
                            </w:r>
                            <w:r w:rsidR="00E94AEB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94AEB">
                              <w:rPr>
                                <w:lang w:val="en-GB"/>
                              </w:rPr>
                              <w:t>pasienter</w:t>
                            </w:r>
                            <w:proofErr w:type="spellEnd"/>
                            <w:r w:rsidR="00E94AEB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94AEB">
                              <w:rPr>
                                <w:lang w:val="en-GB"/>
                              </w:rPr>
                              <w:t>anses</w:t>
                            </w:r>
                            <w:proofErr w:type="spellEnd"/>
                            <w:r w:rsidR="00E94AEB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94AEB">
                              <w:rPr>
                                <w:lang w:val="en-GB"/>
                              </w:rPr>
                              <w:t>aktuelle</w:t>
                            </w:r>
                            <w:proofErr w:type="spellEnd"/>
                            <w:r w:rsidR="00E94AEB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94AEB">
                              <w:rPr>
                                <w:lang w:val="en-GB"/>
                              </w:rPr>
                              <w:t>årlig</w:t>
                            </w:r>
                            <w:proofErr w:type="spellEnd"/>
                            <w:r w:rsidR="00E94AEB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TEn+t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5A267EEF" w14:textId="059CB793" w:rsidR="00EA5C1A" w:rsidRPr="00E94AEB" w:rsidRDefault="00D13175" w:rsidP="00EA5C1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20-30</w:t>
                      </w:r>
                      <w:r w:rsidR="00E94AEB">
                        <w:rPr>
                          <w:lang w:val="en-GB"/>
                        </w:rPr>
                        <w:t xml:space="preserve"> pasienter anses aktuelle årlig.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7E8542E5" w:rsidR="00EA5C1A" w:rsidRDefault="00E94AEB" w:rsidP="00EA5C1A">
                            <w:r w:rsidRPr="00E94AEB">
                              <w:t xml:space="preserve">Ved kombinasjonen </w:t>
                            </w:r>
                            <w:proofErr w:type="spellStart"/>
                            <w:r w:rsidRPr="00E94AEB">
                              <w:t>ipi-nivo-kjemo</w:t>
                            </w:r>
                            <w:proofErr w:type="spellEnd"/>
                            <w:r w:rsidRPr="00E94AEB">
                              <w:t xml:space="preserve"> v</w:t>
                            </w:r>
                            <w:r>
                              <w:t xml:space="preserve">il sannsynligvis flere pasienter få endokrint relaterte bivirkninger. Dette kan innebære at pasienter får </w:t>
                            </w:r>
                            <w:proofErr w:type="spellStart"/>
                            <w:r>
                              <w:t>steoidbehandling</w:t>
                            </w:r>
                            <w:proofErr w:type="spellEnd"/>
                            <w:r>
                              <w:t xml:space="preserve"> hjemme, og kommer til polikliniske kontroller, eller det kan innebære innleggelser. Standard behandling med </w:t>
                            </w:r>
                            <w:proofErr w:type="spellStart"/>
                            <w:r>
                              <w:t>pembro-kjemo</w:t>
                            </w:r>
                            <w:proofErr w:type="spellEnd"/>
                            <w:r>
                              <w:t xml:space="preserve"> der en del av kjemoterapien er et </w:t>
                            </w:r>
                            <w:proofErr w:type="spellStart"/>
                            <w:r>
                              <w:t>taxan</w:t>
                            </w:r>
                            <w:proofErr w:type="spellEnd"/>
                            <w:r>
                              <w:t xml:space="preserve">. Dette gir også mye bivirkninger, og kan innebære innleggelser med </w:t>
                            </w:r>
                            <w:proofErr w:type="spellStart"/>
                            <w:r>
                              <w:t>nøytropeni</w:t>
                            </w:r>
                            <w:proofErr w:type="spellEnd"/>
                            <w:r>
                              <w:t xml:space="preserve"> og feber, eller nevropatier. Ved å bruke denne kombinasjonen er det en lenger periode med kjemoterapi.</w:t>
                            </w:r>
                          </w:p>
                          <w:p w14:paraId="5964549C" w14:textId="77777777" w:rsidR="00E94AEB" w:rsidRPr="00E94AEB" w:rsidRDefault="00E94AEB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d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RqSYlh&#10;Gnv0KJ58qOHJk2nkp7e+RLcHi45heAcD9jnV6u09cPQysOmY2Ylb56DvBGswvyK+zC6ejjg+gtT9&#10;J2gwDtsHSEBD63QkD+kgiI59ej73RgyBcLycz/L4UcLRVszyq+VinmKw8vTcOh8+CNAkChV12PwE&#10;zw73PsR0WHlyidE8KNlspVJJcbt6oxw5MByUbfqO6C/clCF9RZfz6Xxk4K8QKdk0Xhj1BYSWASde&#10;SV3RxVhSmsHI23vTJDkwqUYZHytzJDJyN7IYhnpIPSuuTw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yByp0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7E8542E5" w:rsidR="00EA5C1A" w:rsidRDefault="00E94AEB" w:rsidP="00EA5C1A">
                      <w:r w:rsidRPr="00E94AEB">
                        <w:t>Ved kombinasjonen ipi-nivo-kjemo v</w:t>
                      </w:r>
                      <w:r>
                        <w:t>il sannsynligvis flere pasienter få endokrint relaterte bivirkninger. Dette kan innebære at pasienter får steoidbehandling hjemme, og kommer til polikliniske kontroller, eller det kan innebære innleggelser. Standard behandling med pembro-kjemo der en del av kjemoterapien er et taxan. Dette gir også mye bivirkninger, og kan innebære innleggelser med nøytropeni og feber, eller nevropatier. Ved å bruke denne kombinasjonen er det en lenger periode med kjemoterapi.</w:t>
                      </w:r>
                    </w:p>
                    <w:p w14:paraId="5964549C" w14:textId="77777777" w:rsidR="00E94AEB" w:rsidRPr="00E94AEB" w:rsidRDefault="00E94AEB" w:rsidP="00EA5C1A"/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5A0A4A78" w:rsidR="00EA5C1A" w:rsidRPr="00E54395" w:rsidRDefault="00E94AEB" w:rsidP="00805FD8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GB"/>
                              </w:rPr>
                            </w:pPr>
                            <w:r w:rsidRPr="00E54395">
                              <w:rPr>
                                <w:lang w:val="en-GB"/>
                              </w:rPr>
                              <w:t xml:space="preserve">Randomized, Placebo-Controlled Trial of </w:t>
                            </w:r>
                            <w:proofErr w:type="spellStart"/>
                            <w:r w:rsidRPr="00E54395">
                              <w:rPr>
                                <w:lang w:val="en-GB"/>
                              </w:rPr>
                              <w:t>Pembrolizumab</w:t>
                            </w:r>
                            <w:proofErr w:type="spellEnd"/>
                            <w:r w:rsidRPr="00E54395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E54395">
                              <w:rPr>
                                <w:lang w:val="en-GB"/>
                              </w:rPr>
                              <w:t>Plus</w:t>
                            </w:r>
                            <w:proofErr w:type="gramEnd"/>
                            <w:r w:rsidRPr="00E54395">
                              <w:rPr>
                                <w:lang w:val="en-GB"/>
                              </w:rPr>
                              <w:t xml:space="preserve"> Chemotherapy in Patients</w:t>
                            </w:r>
                            <w:r w:rsidR="00E54395" w:rsidRPr="00E54395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E54395">
                              <w:rPr>
                                <w:lang w:val="en-GB"/>
                              </w:rPr>
                              <w:t>With Metastatic</w:t>
                            </w:r>
                            <w:r w:rsidRPr="00E54395">
                              <w:rPr>
                                <w:rFonts w:ascii="AdvTTc9c3bd71" w:hAnsi="AdvTTc9c3bd71" w:cs="AdvTTc9c3bd7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54395">
                              <w:rPr>
                                <w:lang w:val="en-GB"/>
                              </w:rPr>
                              <w:t xml:space="preserve">Squamous NSCLC: Protocol-Specified Final Analysis of KEYNOTE-407. </w:t>
                            </w:r>
                            <w:r w:rsidRPr="00E54395">
                              <w:rPr>
                                <w:rFonts w:ascii="AdvTTc9c3bd71" w:hAnsi="AdvTTc9c3bd71" w:cs="AdvTTc9c3bd71"/>
                                <w:sz w:val="24"/>
                                <w:szCs w:val="24"/>
                                <w:lang w:val="en-GB"/>
                              </w:rPr>
                              <w:t xml:space="preserve">Luis Paz-Ares et al. </w:t>
                            </w:r>
                            <w:r w:rsidRPr="00E54395">
                              <w:rPr>
                                <w:rFonts w:ascii="AdvTT7f5838b0.I" w:hAnsi="AdvTT7f5838b0.I" w:cs="AdvTT7f5838b0.I"/>
                                <w:sz w:val="18"/>
                                <w:szCs w:val="18"/>
                                <w:lang w:val="en-GB"/>
                              </w:rPr>
                              <w:t>Journal of Thoracic Oncology Vol. 15 No. 10: 1657</w:t>
                            </w:r>
                            <w:r w:rsidRPr="00E54395">
                              <w:rPr>
                                <w:rFonts w:ascii="AdvTT7f5838b0.I+20" w:hAnsi="AdvTT7f5838b0.I+20" w:cs="AdvTT7f5838b0.I+20"/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Pr="00E54395">
                              <w:rPr>
                                <w:rFonts w:ascii="AdvTT7f5838b0.I" w:hAnsi="AdvTT7f5838b0.I" w:cs="AdvTT7f5838b0.I"/>
                                <w:sz w:val="18"/>
                                <w:szCs w:val="18"/>
                                <w:lang w:val="en-GB"/>
                              </w:rPr>
                              <w:t>69</w:t>
                            </w:r>
                            <w:r w:rsidR="00E54395" w:rsidRPr="00E54395">
                              <w:rPr>
                                <w:rFonts w:ascii="AdvTT7f5838b0.I" w:hAnsi="AdvTT7f5838b0.I" w:cs="AdvTT7f5838b0.I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57D7CCB6" w14:textId="01A6AB73" w:rsidR="00E54395" w:rsidRDefault="00E54395" w:rsidP="00A017B8">
                            <w:pPr>
                              <w:pStyle w:val="Listeavsnitt"/>
                              <w:keepNext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360" w:after="0"/>
                              <w:rPr>
                                <w:lang w:val="en-GB"/>
                              </w:rPr>
                            </w:pPr>
                            <w:r w:rsidRPr="00E54395">
                              <w:rPr>
                                <w:lang w:val="en-GB"/>
                              </w:rPr>
                              <w:t xml:space="preserve">First-line </w:t>
                            </w:r>
                            <w:proofErr w:type="spellStart"/>
                            <w:r w:rsidRPr="00E54395">
                              <w:rPr>
                                <w:lang w:val="en-GB"/>
                              </w:rPr>
                              <w:t>nivolumab</w:t>
                            </w:r>
                            <w:proofErr w:type="spellEnd"/>
                            <w:r w:rsidRPr="00E54395">
                              <w:rPr>
                                <w:lang w:val="en-GB"/>
                              </w:rPr>
                              <w:t xml:space="preserve"> plus </w:t>
                            </w:r>
                            <w:proofErr w:type="spellStart"/>
                            <w:r w:rsidRPr="00E54395">
                              <w:rPr>
                                <w:lang w:val="en-GB"/>
                              </w:rPr>
                              <w:t>ipilimumab</w:t>
                            </w:r>
                            <w:proofErr w:type="spellEnd"/>
                            <w:r w:rsidRPr="00E54395">
                              <w:rPr>
                                <w:lang w:val="en-GB"/>
                              </w:rPr>
                              <w:t xml:space="preserve"> combined with two cycles of chemotherapy in patients with non-small-cell lung cancer (</w:t>
                            </w:r>
                            <w:proofErr w:type="spellStart"/>
                            <w:r w:rsidRPr="00E54395">
                              <w:rPr>
                                <w:lang w:val="en-GB"/>
                              </w:rPr>
                              <w:t>CheckMate</w:t>
                            </w:r>
                            <w:proofErr w:type="spellEnd"/>
                            <w:r w:rsidRPr="00E54395">
                              <w:rPr>
                                <w:lang w:val="en-GB"/>
                              </w:rPr>
                              <w:t xml:space="preserve"> 9LA): an international, randomised, open-label, phase 3 trial. </w:t>
                            </w:r>
                            <w:r>
                              <w:rPr>
                                <w:lang w:val="en-GB"/>
                              </w:rPr>
                              <w:t xml:space="preserve">Luis Paz-Ares et al. Lancet Oncology 2021. </w:t>
                            </w:r>
                            <w:hyperlink r:id="rId12" w:history="1">
                              <w:r w:rsidRPr="00E54395">
                                <w:rPr>
                                  <w:lang w:val="en-GB"/>
                                </w:rPr>
                                <w:t>VOLUME 22, ISSUE 2</w:t>
                              </w:r>
                            </w:hyperlink>
                            <w:r w:rsidRPr="00E54395">
                              <w:rPr>
                                <w:lang w:val="en-GB"/>
                              </w:rPr>
                              <w:t>, P198-211, FEBRUARY 01, 2021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720C0EDA" w14:textId="2FE7462B" w:rsidR="00E54395" w:rsidRDefault="00E54395" w:rsidP="00A017B8">
                            <w:pPr>
                              <w:pStyle w:val="Listeavsnitt"/>
                              <w:keepNext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360" w:after="0"/>
                            </w:pPr>
                            <w:r>
                              <w:t xml:space="preserve">Nasjonalt handlingsprogram med retningslinjer for diagnostikk, behandling og oppfølging av lungekreft, </w:t>
                            </w:r>
                            <w:proofErr w:type="spellStart"/>
                            <w:r>
                              <w:t>mesoteliom</w:t>
                            </w:r>
                            <w:proofErr w:type="spellEnd"/>
                            <w:r>
                              <w:t xml:space="preserve"> og </w:t>
                            </w:r>
                            <w:proofErr w:type="spellStart"/>
                            <w:r>
                              <w:t>thymom</w:t>
                            </w:r>
                            <w:proofErr w:type="spellEnd"/>
                          </w:p>
                          <w:p w14:paraId="567BBC02" w14:textId="2AE5F73F" w:rsidR="00E54395" w:rsidRDefault="00E54395" w:rsidP="00A017B8">
                            <w:pPr>
                              <w:pStyle w:val="Listeavsnitt"/>
                              <w:keepNext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360" w:after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E54395">
                              <w:rPr>
                                <w:lang w:val="en-GB"/>
                              </w:rPr>
                              <w:t>Nivolumab</w:t>
                            </w:r>
                            <w:proofErr w:type="spellEnd"/>
                            <w:r w:rsidRPr="00E54395">
                              <w:rPr>
                                <w:lang w:val="en-GB"/>
                              </w:rPr>
                              <w:t xml:space="preserve"> plus Ipilimumab in Advanced Non</w:t>
                            </w:r>
                            <w:r w:rsidRPr="00E54395">
                              <w:rPr>
                                <w:rFonts w:hint="eastAsia"/>
                                <w:lang w:val="en-GB"/>
                              </w:rPr>
                              <w:t>–</w:t>
                            </w:r>
                            <w:r w:rsidRPr="00E54395">
                              <w:rPr>
                                <w:lang w:val="en-GB"/>
                              </w:rPr>
                              <w:t>Small-Cell Lung</w:t>
                            </w:r>
                            <w:r>
                              <w:rPr>
                                <w:lang w:val="en-GB"/>
                              </w:rPr>
                              <w:t xml:space="preserve"> Cancer. MD Hellmann.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NEJM  et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al, 2019.</w:t>
                            </w:r>
                          </w:p>
                          <w:p w14:paraId="534B06D9" w14:textId="5B59C62A" w:rsidR="00E54395" w:rsidRPr="00E54395" w:rsidRDefault="00E54395" w:rsidP="00A017B8">
                            <w:pPr>
                              <w:pStyle w:val="Listeavsnitt"/>
                              <w:keepNext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360"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First-line treatment options for PDL1-negative non-small cell lung cancer: A Bayesian network meta-analysis. Peng L et al. Frontiers in Oncology; 23 June 2021.</w:t>
                            </w:r>
                          </w:p>
                          <w:p w14:paraId="67BB317F" w14:textId="31E4A04A" w:rsidR="00E54395" w:rsidRPr="00E54395" w:rsidRDefault="00E54395" w:rsidP="00E543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Qsy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06DCBDC" w14:textId="5A0A4A78" w:rsidR="00EA5C1A" w:rsidRPr="00E54395" w:rsidRDefault="00E94AEB" w:rsidP="00805F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GB"/>
                        </w:rPr>
                      </w:pPr>
                      <w:r w:rsidRPr="00E54395">
                        <w:rPr>
                          <w:lang w:val="en-GB"/>
                        </w:rPr>
                        <w:t>Randomized, Placebo-Controlled Trial of</w:t>
                      </w:r>
                      <w:r w:rsidRPr="00E54395">
                        <w:rPr>
                          <w:lang w:val="en-GB"/>
                        </w:rPr>
                        <w:t xml:space="preserve"> </w:t>
                      </w:r>
                      <w:r w:rsidRPr="00E54395">
                        <w:rPr>
                          <w:lang w:val="en-GB"/>
                        </w:rPr>
                        <w:t>Pembrolizumab Plus Chemotherapy in Patients</w:t>
                      </w:r>
                      <w:r w:rsidR="00E54395" w:rsidRPr="00E54395">
                        <w:rPr>
                          <w:lang w:val="en-GB"/>
                        </w:rPr>
                        <w:t xml:space="preserve"> </w:t>
                      </w:r>
                      <w:r w:rsidRPr="00E54395">
                        <w:rPr>
                          <w:lang w:val="en-GB"/>
                        </w:rPr>
                        <w:t>With Metastatic</w:t>
                      </w:r>
                      <w:r w:rsidRPr="00E54395">
                        <w:rPr>
                          <w:rFonts w:ascii="AdvTTc9c3bd71" w:hAnsi="AdvTTc9c3bd71" w:cs="AdvTTc9c3bd71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54395">
                        <w:rPr>
                          <w:lang w:val="en-GB"/>
                        </w:rPr>
                        <w:t>Squamous NSCLC: Protocol-Specified Final Analysis of KEYNOTE-407</w:t>
                      </w:r>
                      <w:r w:rsidRPr="00E54395">
                        <w:rPr>
                          <w:lang w:val="en-GB"/>
                        </w:rPr>
                        <w:t xml:space="preserve">. </w:t>
                      </w:r>
                      <w:r w:rsidRPr="00E54395"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>Luis Paz-Ares</w:t>
                      </w:r>
                      <w:r w:rsidRPr="00E54395">
                        <w:rPr>
                          <w:rFonts w:ascii="AdvTTc9c3bd71" w:hAnsi="AdvTTc9c3bd71" w:cs="AdvTTc9c3bd71"/>
                          <w:sz w:val="24"/>
                          <w:szCs w:val="24"/>
                          <w:lang w:val="en-GB"/>
                        </w:rPr>
                        <w:t xml:space="preserve"> et al. </w:t>
                      </w:r>
                      <w:r w:rsidRPr="00E54395">
                        <w:rPr>
                          <w:rFonts w:ascii="AdvTT7f5838b0.I" w:hAnsi="AdvTT7f5838b0.I" w:cs="AdvTT7f5838b0.I"/>
                          <w:sz w:val="18"/>
                          <w:szCs w:val="18"/>
                          <w:lang w:val="en-GB"/>
                        </w:rPr>
                        <w:t>Journal of Thoracic Oncology Vol. 15 No. 10: 1657</w:t>
                      </w:r>
                      <w:r w:rsidRPr="00E54395">
                        <w:rPr>
                          <w:rFonts w:ascii="AdvTT7f5838b0.I+20" w:hAnsi="AdvTT7f5838b0.I+20" w:cs="AdvTT7f5838b0.I+20"/>
                          <w:sz w:val="18"/>
                          <w:szCs w:val="18"/>
                          <w:lang w:val="en-GB"/>
                        </w:rPr>
                        <w:t>–</w:t>
                      </w:r>
                      <w:r w:rsidRPr="00E54395">
                        <w:rPr>
                          <w:rFonts w:ascii="AdvTT7f5838b0.I" w:hAnsi="AdvTT7f5838b0.I" w:cs="AdvTT7f5838b0.I"/>
                          <w:sz w:val="18"/>
                          <w:szCs w:val="18"/>
                          <w:lang w:val="en-GB"/>
                        </w:rPr>
                        <w:t>69</w:t>
                      </w:r>
                      <w:r w:rsidR="00E54395" w:rsidRPr="00E54395">
                        <w:rPr>
                          <w:rFonts w:ascii="AdvTT7f5838b0.I" w:hAnsi="AdvTT7f5838b0.I" w:cs="AdvTT7f5838b0.I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57D7CCB6" w14:textId="01A6AB73" w:rsidR="00E54395" w:rsidRDefault="00E54395" w:rsidP="00A017B8">
                      <w:pPr>
                        <w:pStyle w:val="ListParagraph"/>
                        <w:keepNext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360" w:after="0"/>
                        <w:rPr>
                          <w:lang w:val="en-GB"/>
                        </w:rPr>
                      </w:pPr>
                      <w:r w:rsidRPr="00E54395">
                        <w:rPr>
                          <w:lang w:val="en-GB"/>
                        </w:rPr>
                        <w:t>First-line nivolumab plus ipilimumab combined with two cycles of chemotherapy in patients with non-small-cell lung cancer (CheckMate 9LA): an international, randomised, open-label, phase 3 trial</w:t>
                      </w:r>
                      <w:r w:rsidRPr="00E54395">
                        <w:rPr>
                          <w:lang w:val="en-GB"/>
                        </w:rPr>
                        <w:t xml:space="preserve">. </w:t>
                      </w:r>
                      <w:r>
                        <w:rPr>
                          <w:lang w:val="en-GB"/>
                        </w:rPr>
                        <w:t xml:space="preserve">Luis Paz-Ares et al. Lancet Oncology 2021. </w:t>
                      </w:r>
                      <w:hyperlink r:id="rId13" w:history="1">
                        <w:r w:rsidRPr="00E54395">
                          <w:rPr>
                            <w:lang w:val="en-GB"/>
                          </w:rPr>
                          <w:t>VOLUME 22, ISSUE 2</w:t>
                        </w:r>
                      </w:hyperlink>
                      <w:r w:rsidRPr="00E54395">
                        <w:rPr>
                          <w:lang w:val="en-GB"/>
                        </w:rPr>
                        <w:t>, P198-211, FEBRUARY 01, 2021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  <w:p w14:paraId="720C0EDA" w14:textId="2FE7462B" w:rsidR="00E54395" w:rsidRDefault="00E54395" w:rsidP="00A017B8">
                      <w:pPr>
                        <w:pStyle w:val="ListParagraph"/>
                        <w:keepNext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360" w:after="0"/>
                      </w:pPr>
                      <w:r>
                        <w:t>Nasjonalt handlingsprogram med retningslinjer for diagnostikk, behandling og oppfølging av lungekreft, mesoteliom og thymom</w:t>
                      </w:r>
                    </w:p>
                    <w:p w14:paraId="567BBC02" w14:textId="2AE5F73F" w:rsidR="00E54395" w:rsidRDefault="00E54395" w:rsidP="00A017B8">
                      <w:pPr>
                        <w:pStyle w:val="ListParagraph"/>
                        <w:keepNext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360" w:after="0"/>
                        <w:rPr>
                          <w:lang w:val="en-GB"/>
                        </w:rPr>
                      </w:pPr>
                      <w:r w:rsidRPr="00E54395">
                        <w:rPr>
                          <w:lang w:val="en-GB"/>
                        </w:rPr>
                        <w:t>Nivolumab plus Ipilimumab in Advanced Non</w:t>
                      </w:r>
                      <w:r w:rsidRPr="00E54395">
                        <w:rPr>
                          <w:rFonts w:hint="eastAsia"/>
                          <w:lang w:val="en-GB"/>
                        </w:rPr>
                        <w:t>–</w:t>
                      </w:r>
                      <w:r w:rsidRPr="00E54395">
                        <w:rPr>
                          <w:lang w:val="en-GB"/>
                        </w:rPr>
                        <w:t>Small-Cell Lung</w:t>
                      </w:r>
                      <w:r>
                        <w:rPr>
                          <w:lang w:val="en-GB"/>
                        </w:rPr>
                        <w:t xml:space="preserve"> Cancer. MD Hellmann. NEJM  et al, 2019.</w:t>
                      </w:r>
                    </w:p>
                    <w:p w14:paraId="534B06D9" w14:textId="5B59C62A" w:rsidR="00E54395" w:rsidRPr="00E54395" w:rsidRDefault="00E54395" w:rsidP="00A017B8">
                      <w:pPr>
                        <w:pStyle w:val="ListParagraph"/>
                        <w:keepNext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360"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First-line treatment options for PDL1-negative non-small cell lung cancer: A Bayesian network meta-analysis. Peng L et al. Frontiers in Oncology; 23 June 2021.</w:t>
                      </w:r>
                    </w:p>
                    <w:p w14:paraId="67BB317F" w14:textId="31E4A04A" w:rsidR="00E54395" w:rsidRPr="00E54395" w:rsidRDefault="00E54395" w:rsidP="00E5439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7CB5EBE5" w:rsidR="00EA5C1A" w:rsidRDefault="00273A2A" w:rsidP="00273A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BMS </w:t>
                            </w:r>
                          </w:p>
                          <w:p w14:paraId="41DE6BDF" w14:textId="02B22695" w:rsidR="00273A2A" w:rsidRDefault="00273A2A" w:rsidP="00273A2A">
                            <w:r w:rsidRPr="00273A2A">
                              <w:t xml:space="preserve"> </w:t>
                            </w:r>
                            <w:r>
                              <w:t xml:space="preserve">Bristol-Myers Squibb </w:t>
                            </w:r>
                          </w:p>
                          <w:p w14:paraId="6A279C03" w14:textId="0CDD20B5" w:rsidR="00273A2A" w:rsidRPr="00273A2A" w:rsidRDefault="00273A2A" w:rsidP="00273A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4SUHY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7CB5EBE5" w:rsidR="00EA5C1A" w:rsidRDefault="00273A2A" w:rsidP="00273A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BMS </w:t>
                      </w:r>
                    </w:p>
                    <w:p w14:paraId="41DE6BDF" w14:textId="02B22695" w:rsidR="00273A2A" w:rsidRDefault="00273A2A" w:rsidP="00273A2A">
                      <w:r w:rsidRPr="00273A2A">
                        <w:t xml:space="preserve"> </w:t>
                      </w:r>
                      <w:r>
                        <w:t xml:space="preserve">Bristol-Myers Squibb </w:t>
                      </w:r>
                    </w:p>
                    <w:p w14:paraId="6A279C03" w14:textId="0CDD20B5" w:rsidR="00273A2A" w:rsidRPr="00273A2A" w:rsidRDefault="00273A2A" w:rsidP="00273A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33651536" w:rsidR="00EA5C1A" w:rsidRPr="00FC449B" w:rsidRDefault="00FC449B" w:rsidP="00EA5C1A">
                            <w:r w:rsidRPr="00FC449B">
                              <w:t>Alle stoffene har markedsføringstillatelse I N</w:t>
                            </w:r>
                            <w:r>
                              <w:t>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cN58Q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91D494F" w14:textId="33651536" w:rsidR="00EA5C1A" w:rsidRPr="00FC449B" w:rsidRDefault="00FC449B" w:rsidP="00EA5C1A">
                      <w:r w:rsidRPr="00FC449B">
                        <w:t>Alle stoffene har markedsføringstillatelse I N</w:t>
                      </w:r>
                      <w:r>
                        <w:t>orge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105EA812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l2yyv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105EA812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0710279E" w:rsidR="00EA5C1A" w:rsidRPr="00FC449B" w:rsidRDefault="00FC449B" w:rsidP="00EA5C1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Ingen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økonomiske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interesser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D+QUVX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A02714F" w14:textId="0710279E" w:rsidR="00EA5C1A" w:rsidRPr="00FC449B" w:rsidRDefault="00FC449B" w:rsidP="00EA5C1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Ingen økonomiske interesser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AA455" w14:textId="77777777" w:rsidR="00947686" w:rsidRDefault="00947686" w:rsidP="00CB7C65">
      <w:pPr>
        <w:spacing w:after="0"/>
      </w:pPr>
      <w:r>
        <w:separator/>
      </w:r>
    </w:p>
  </w:endnote>
  <w:endnote w:type="continuationSeparator" w:id="0">
    <w:p w14:paraId="3CD7EA11" w14:textId="77777777" w:rsidR="00947686" w:rsidRDefault="00947686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TTc9c3bd7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f5838b0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f5838b0.I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17FE0802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7E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7E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610F" w14:textId="77777777" w:rsidR="00947686" w:rsidRDefault="00947686" w:rsidP="00CB7C65">
      <w:pPr>
        <w:spacing w:after="0"/>
      </w:pPr>
      <w:r>
        <w:separator/>
      </w:r>
    </w:p>
  </w:footnote>
  <w:footnote w:type="continuationSeparator" w:id="0">
    <w:p w14:paraId="3DC8350A" w14:textId="77777777" w:rsidR="00947686" w:rsidRDefault="00947686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0A0D"/>
    <w:multiLevelType w:val="multilevel"/>
    <w:tmpl w:val="915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515F4"/>
    <w:multiLevelType w:val="hybridMultilevel"/>
    <w:tmpl w:val="ECC87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38A5"/>
    <w:multiLevelType w:val="hybridMultilevel"/>
    <w:tmpl w:val="ECC87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945B6"/>
    <w:multiLevelType w:val="hybridMultilevel"/>
    <w:tmpl w:val="10E0C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E671E"/>
    <w:rsid w:val="00107D2D"/>
    <w:rsid w:val="00137F37"/>
    <w:rsid w:val="001837E4"/>
    <w:rsid w:val="001F612C"/>
    <w:rsid w:val="00236EFA"/>
    <w:rsid w:val="00237A82"/>
    <w:rsid w:val="00273A2A"/>
    <w:rsid w:val="00293435"/>
    <w:rsid w:val="002D46BE"/>
    <w:rsid w:val="002E100D"/>
    <w:rsid w:val="002F603A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017EA"/>
    <w:rsid w:val="004273C8"/>
    <w:rsid w:val="004479DA"/>
    <w:rsid w:val="004538A4"/>
    <w:rsid w:val="00482A88"/>
    <w:rsid w:val="00486D70"/>
    <w:rsid w:val="00487139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DF8"/>
    <w:rsid w:val="00595D4D"/>
    <w:rsid w:val="005A5A48"/>
    <w:rsid w:val="005D10A3"/>
    <w:rsid w:val="00602AC8"/>
    <w:rsid w:val="0062390D"/>
    <w:rsid w:val="0063026D"/>
    <w:rsid w:val="00642ABD"/>
    <w:rsid w:val="00663E14"/>
    <w:rsid w:val="00687303"/>
    <w:rsid w:val="006B1F22"/>
    <w:rsid w:val="006B5B4F"/>
    <w:rsid w:val="006B7A0F"/>
    <w:rsid w:val="006D4C0B"/>
    <w:rsid w:val="006E5CC6"/>
    <w:rsid w:val="00744262"/>
    <w:rsid w:val="00756189"/>
    <w:rsid w:val="007643D3"/>
    <w:rsid w:val="007B179D"/>
    <w:rsid w:val="00810846"/>
    <w:rsid w:val="00813085"/>
    <w:rsid w:val="00826624"/>
    <w:rsid w:val="00851C5A"/>
    <w:rsid w:val="00873086"/>
    <w:rsid w:val="00876B6F"/>
    <w:rsid w:val="008A3DBD"/>
    <w:rsid w:val="008B6D2F"/>
    <w:rsid w:val="008F089A"/>
    <w:rsid w:val="009114E9"/>
    <w:rsid w:val="0093692E"/>
    <w:rsid w:val="00947686"/>
    <w:rsid w:val="00955918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156C7"/>
    <w:rsid w:val="00A238FC"/>
    <w:rsid w:val="00A2476C"/>
    <w:rsid w:val="00A3088A"/>
    <w:rsid w:val="00A36410"/>
    <w:rsid w:val="00A40592"/>
    <w:rsid w:val="00A7499A"/>
    <w:rsid w:val="00AB3DF9"/>
    <w:rsid w:val="00AF5F85"/>
    <w:rsid w:val="00AF7195"/>
    <w:rsid w:val="00B225BF"/>
    <w:rsid w:val="00B30373"/>
    <w:rsid w:val="00B55123"/>
    <w:rsid w:val="00B62381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F24C6"/>
    <w:rsid w:val="00D06D4A"/>
    <w:rsid w:val="00D12954"/>
    <w:rsid w:val="00D13175"/>
    <w:rsid w:val="00D36E3E"/>
    <w:rsid w:val="00D4135D"/>
    <w:rsid w:val="00D6540D"/>
    <w:rsid w:val="00D70C83"/>
    <w:rsid w:val="00D956FC"/>
    <w:rsid w:val="00D95EDB"/>
    <w:rsid w:val="00DA2091"/>
    <w:rsid w:val="00DB5230"/>
    <w:rsid w:val="00E12E99"/>
    <w:rsid w:val="00E41B2F"/>
    <w:rsid w:val="00E4541E"/>
    <w:rsid w:val="00E50A51"/>
    <w:rsid w:val="00E532FF"/>
    <w:rsid w:val="00E54395"/>
    <w:rsid w:val="00E650CC"/>
    <w:rsid w:val="00E800B1"/>
    <w:rsid w:val="00E83A05"/>
    <w:rsid w:val="00E94AEB"/>
    <w:rsid w:val="00EA5C1A"/>
    <w:rsid w:val="00EC05D7"/>
    <w:rsid w:val="00EE222D"/>
    <w:rsid w:val="00F01202"/>
    <w:rsid w:val="00F15538"/>
    <w:rsid w:val="00F21563"/>
    <w:rsid w:val="00F336F2"/>
    <w:rsid w:val="00F439F8"/>
    <w:rsid w:val="00F472C5"/>
    <w:rsid w:val="00F53B84"/>
    <w:rsid w:val="00F54E77"/>
    <w:rsid w:val="00F61462"/>
    <w:rsid w:val="00F8383D"/>
    <w:rsid w:val="00FC449B"/>
    <w:rsid w:val="00FE2B75"/>
    <w:rsid w:val="00FE2C8A"/>
    <w:rsid w:val="00FF2997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C7BFF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paragraph" w:customStyle="1" w:styleId="loaitem">
    <w:name w:val="loa__item"/>
    <w:basedOn w:val="Normal"/>
    <w:rsid w:val="00E543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-headerpages">
    <w:name w:val="article-header__pages"/>
    <w:basedOn w:val="Standardskriftforavsnitt"/>
    <w:rsid w:val="00E54395"/>
  </w:style>
  <w:style w:type="character" w:customStyle="1" w:styleId="article-headerdate">
    <w:name w:val="article-header__date"/>
    <w:basedOn w:val="Standardskriftforavsnitt"/>
    <w:rsid w:val="00E5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lancet.com/journals/lanonc/issue/vol22no2/PIIS1470-2045(21)X0002-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lancet.com/journals/lanonc/issue/vol22no2/PIIS1470-2045(21)X000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9DCA-DA7E-4750-A27E-C26DD65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A15DD-932D-4DC0-8ABE-8847238BF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E8BCD4-8F4F-4C27-AFAF-0EA3A689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F1CD2-6B75-4F54-AF51-0CE12E4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1001</Words>
  <Characters>4839</Characters>
  <Application>Microsoft Office Word</Application>
  <DocSecurity>0</DocSecurity>
  <Lines>86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Helsedirektoratet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Eddy Grønset</cp:lastModifiedBy>
  <cp:revision>3</cp:revision>
  <cp:lastPrinted>2020-01-16T08:16:00Z</cp:lastPrinted>
  <dcterms:created xsi:type="dcterms:W3CDTF">2022-01-10T09:58:00Z</dcterms:created>
  <dcterms:modified xsi:type="dcterms:W3CDTF">2022-01-10T10:02:00Z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