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8A24" w14:textId="7CE0BE72" w:rsidR="004B303D" w:rsidRDefault="0091218A" w:rsidP="003E11D8">
      <w:pPr>
        <w:spacing w:line="240" w:lineRule="auto"/>
        <w:contextualSpacing/>
        <w:rPr>
          <w:rFonts w:cs="Arial"/>
        </w:rPr>
      </w:pPr>
      <w:r>
        <w:rPr>
          <w:rStyle w:val="Heading1Char"/>
          <w:color w:val="auto"/>
        </w:rPr>
        <w:t>Nye metoder: Innspill til</w:t>
      </w:r>
      <w:r w:rsidR="003E11D8" w:rsidRPr="00815484">
        <w:rPr>
          <w:rStyle w:val="Heading1Char"/>
          <w:color w:val="auto"/>
        </w:rPr>
        <w:t xml:space="preserve"> </w:t>
      </w:r>
      <w:r w:rsidR="002E4930">
        <w:rPr>
          <w:rStyle w:val="Heading1Char"/>
          <w:color w:val="auto"/>
        </w:rPr>
        <w:t>metoder (</w:t>
      </w:r>
      <w:r w:rsidR="003E11D8" w:rsidRPr="00815484">
        <w:rPr>
          <w:rStyle w:val="Heading1Char"/>
          <w:rFonts w:asciiTheme="minorHAnsi" w:hAnsiTheme="minorHAnsi"/>
          <w:color w:val="auto"/>
        </w:rPr>
        <w:t>forslag</w:t>
      </w:r>
      <w:r w:rsidR="003E11D8" w:rsidRPr="00815484">
        <w:rPr>
          <w:rStyle w:val="Heading1Char"/>
          <w:color w:val="auto"/>
        </w:rPr>
        <w:t>/metodevarsler</w:t>
      </w:r>
      <w:r w:rsidR="002E4930">
        <w:rPr>
          <w:rStyle w:val="Heading1Char"/>
          <w:color w:val="auto"/>
        </w:rPr>
        <w:t>/oppdrag)</w:t>
      </w:r>
      <w:r w:rsidR="003E11D8">
        <w:rPr>
          <w:b/>
          <w:sz w:val="28"/>
          <w:szCs w:val="28"/>
        </w:rPr>
        <w:br/>
      </w:r>
      <w:r w:rsidR="00815484">
        <w:rPr>
          <w:rFonts w:cs="Arial"/>
        </w:rPr>
        <w:br/>
      </w:r>
      <w:r w:rsidR="003E11D8">
        <w:rPr>
          <w:rFonts w:cs="Arial"/>
        </w:rPr>
        <w:t>Alle har anledning til å komme med tilleggsopplysninger til en metode som er foreslått for nasjonal metodevurdering</w:t>
      </w:r>
      <w:r w:rsidR="004C5BF6">
        <w:rPr>
          <w:rFonts w:cs="Arial"/>
        </w:rPr>
        <w:t>. Det er ønskelig at innspill kommer</w:t>
      </w:r>
      <w:r w:rsidR="00643E8D">
        <w:rPr>
          <w:rFonts w:cs="Arial"/>
        </w:rPr>
        <w:t xml:space="preserve"> inn så tidlig som mulig i pros</w:t>
      </w:r>
      <w:r w:rsidR="004C5BF6">
        <w:rPr>
          <w:rFonts w:cs="Arial"/>
        </w:rPr>
        <w:t>esse</w:t>
      </w:r>
      <w:r w:rsidR="00643E8D">
        <w:rPr>
          <w:rFonts w:cs="Arial"/>
        </w:rPr>
        <w:t>n,</w:t>
      </w:r>
      <w:r w:rsidR="004C5BF6">
        <w:rPr>
          <w:rFonts w:cs="Arial"/>
        </w:rPr>
        <w:t xml:space="preserve"> fortrinnsvis</w:t>
      </w:r>
      <w:r w:rsidR="003E11D8">
        <w:rPr>
          <w:rFonts w:cs="Arial"/>
        </w:rPr>
        <w:t xml:space="preserve"> før</w:t>
      </w:r>
      <w:r w:rsidR="004B303D">
        <w:rPr>
          <w:rFonts w:cs="Arial"/>
        </w:rPr>
        <w:t xml:space="preserve"> </w:t>
      </w:r>
      <w:r w:rsidR="003E11D8">
        <w:rPr>
          <w:rFonts w:cs="Arial"/>
        </w:rPr>
        <w:t>behand</w:t>
      </w:r>
      <w:r w:rsidR="004C5BF6">
        <w:rPr>
          <w:rFonts w:cs="Arial"/>
        </w:rPr>
        <w:t>ling i</w:t>
      </w:r>
      <w:r w:rsidR="003E11D8">
        <w:rPr>
          <w:rFonts w:cs="Arial"/>
        </w:rPr>
        <w:t xml:space="preserve"> Bestillerforum RHF. </w:t>
      </w:r>
    </w:p>
    <w:p w14:paraId="7137614E" w14:textId="77777777" w:rsidR="006F6B4F" w:rsidRDefault="006F6B4F" w:rsidP="003E11D8">
      <w:pPr>
        <w:spacing w:line="240" w:lineRule="auto"/>
        <w:contextualSpacing/>
        <w:rPr>
          <w:rFonts w:cs="Arial"/>
        </w:rPr>
      </w:pPr>
    </w:p>
    <w:p w14:paraId="4A36612C" w14:textId="77777777" w:rsidR="006F6B4F" w:rsidRDefault="003E11D8" w:rsidP="003E11D8">
      <w:pPr>
        <w:spacing w:line="240" w:lineRule="auto"/>
        <w:contextualSpacing/>
        <w:rPr>
          <w:rFonts w:cs="Arial"/>
        </w:rPr>
      </w:pPr>
      <w:r>
        <w:rPr>
          <w:rFonts w:cs="Arial"/>
        </w:rPr>
        <w:t>Bruk dette skjema</w:t>
      </w:r>
      <w:r w:rsidR="004B303D">
        <w:rPr>
          <w:rFonts w:cs="Arial"/>
        </w:rPr>
        <w:t>et</w:t>
      </w:r>
      <w:r>
        <w:rPr>
          <w:rFonts w:cs="Arial"/>
        </w:rPr>
        <w:t xml:space="preserve"> for å gi innspill til forslag</w:t>
      </w:r>
      <w:r w:rsidR="002879D8">
        <w:rPr>
          <w:rFonts w:cs="Arial"/>
        </w:rPr>
        <w:t xml:space="preserve">, </w:t>
      </w:r>
      <w:r>
        <w:rPr>
          <w:rFonts w:cs="Arial"/>
        </w:rPr>
        <w:t>metodevarsler</w:t>
      </w:r>
      <w:r w:rsidR="002879D8">
        <w:rPr>
          <w:rFonts w:cs="Arial"/>
        </w:rPr>
        <w:t xml:space="preserve"> og oppdrag</w:t>
      </w:r>
      <w:r w:rsidR="004C5BF6">
        <w:rPr>
          <w:rFonts w:cs="Arial"/>
        </w:rPr>
        <w:t xml:space="preserve">. </w:t>
      </w:r>
      <w:r w:rsidR="00643E8D">
        <w:rPr>
          <w:rFonts w:cs="Arial"/>
        </w:rPr>
        <w:t>På nyemetoder.no vil nye forslag/metodevarsler ha s</w:t>
      </w:r>
      <w:r>
        <w:rPr>
          <w:rFonts w:cs="Arial"/>
        </w:rPr>
        <w:t>tatus</w:t>
      </w:r>
      <w:r w:rsidR="00643E8D">
        <w:rPr>
          <w:rFonts w:cs="Arial"/>
        </w:rPr>
        <w:t>en</w:t>
      </w:r>
      <w:r>
        <w:rPr>
          <w:rFonts w:cs="Arial"/>
        </w:rPr>
        <w:t xml:space="preserve"> «Forslag mottatt/åpent for innspill»</w:t>
      </w:r>
      <w:r w:rsidR="00A04572">
        <w:rPr>
          <w:rFonts w:cs="Arial"/>
        </w:rPr>
        <w:t xml:space="preserve"> </w:t>
      </w:r>
      <w:r w:rsidR="00643E8D">
        <w:rPr>
          <w:rFonts w:cs="Arial"/>
        </w:rPr>
        <w:t xml:space="preserve">før behandling i </w:t>
      </w:r>
    </w:p>
    <w:p w14:paraId="74D7070C" w14:textId="4B6DA55E" w:rsidR="003E11D8" w:rsidRDefault="00643E8D" w:rsidP="003E11D8">
      <w:pPr>
        <w:spacing w:line="240" w:lineRule="auto"/>
        <w:contextualSpacing/>
        <w:rPr>
          <w:rFonts w:cs="Arial"/>
        </w:rPr>
      </w:pPr>
      <w:r>
        <w:rPr>
          <w:rFonts w:cs="Arial"/>
        </w:rPr>
        <w:t>Bestillerforum RHF.</w:t>
      </w:r>
      <w:r w:rsidR="002B3123">
        <w:rPr>
          <w:rFonts w:cs="Arial"/>
        </w:rPr>
        <w:t xml:space="preserve"> Utfylt skjema sendes </w:t>
      </w:r>
      <w:hyperlink r:id="rId10" w:history="1">
        <w:r w:rsidR="002B3123" w:rsidRPr="003F2A15">
          <w:rPr>
            <w:rStyle w:val="Hyperlink"/>
            <w:rFonts w:cs="Arial"/>
          </w:rPr>
          <w:t>nyemetoder@helse-sorost.no</w:t>
        </w:r>
      </w:hyperlink>
      <w:r w:rsidR="002B3123">
        <w:rPr>
          <w:rFonts w:cs="Arial"/>
        </w:rPr>
        <w:t xml:space="preserve">. </w:t>
      </w:r>
    </w:p>
    <w:p w14:paraId="0937F911" w14:textId="77777777" w:rsidR="006F6B4F" w:rsidRDefault="006F6B4F" w:rsidP="003E11D8">
      <w:pPr>
        <w:spacing w:line="240" w:lineRule="auto"/>
        <w:contextualSpacing/>
        <w:rPr>
          <w:b/>
        </w:rPr>
      </w:pPr>
    </w:p>
    <w:p w14:paraId="75A49679" w14:textId="4DBA9831" w:rsidR="00C354DD" w:rsidRPr="002879D8" w:rsidRDefault="00AE58D8" w:rsidP="003E11D8">
      <w:pPr>
        <w:spacing w:line="240" w:lineRule="auto"/>
        <w:contextualSpacing/>
        <w:rPr>
          <w:sz w:val="20"/>
          <w:szCs w:val="24"/>
        </w:rPr>
      </w:pPr>
      <w:r w:rsidRPr="00AE58D8">
        <w:rPr>
          <w:b/>
        </w:rPr>
        <w:t>NB</w:t>
      </w:r>
      <w:r>
        <w:t xml:space="preserve">: </w:t>
      </w:r>
      <w:r w:rsidR="0091218A" w:rsidRPr="00AE58D8">
        <w:rPr>
          <w:b/>
        </w:rPr>
        <w:t>Punkt 1-3 og 1</w:t>
      </w:r>
      <w:r w:rsidR="001959E5" w:rsidRPr="00AE58D8">
        <w:rPr>
          <w:b/>
        </w:rPr>
        <w:t>1</w:t>
      </w:r>
      <w:r w:rsidR="0091218A" w:rsidRPr="00AE58D8">
        <w:rPr>
          <w:b/>
        </w:rPr>
        <w:t xml:space="preserve"> fylles ut av alle.</w:t>
      </w:r>
      <w:r w:rsidR="0091218A" w:rsidRPr="002879D8">
        <w:t xml:space="preserve"> Punkt 4-9</w:t>
      </w:r>
      <w:r w:rsidR="00C354DD" w:rsidRPr="002879D8">
        <w:t xml:space="preserve"> fylles </w:t>
      </w:r>
      <w:r w:rsidR="00D53539">
        <w:t xml:space="preserve">ut avhengig av rolle og </w:t>
      </w:r>
      <w:r w:rsidR="00C354DD" w:rsidRPr="002879D8">
        <w:t>kjennskap til metoden.</w:t>
      </w:r>
    </w:p>
    <w:p w14:paraId="1B7BDA75" w14:textId="30C7AF06" w:rsidR="002879D8" w:rsidRPr="002879D8" w:rsidRDefault="003E11D8" w:rsidP="002879D8">
      <w:r>
        <w:rPr>
          <w:rFonts w:cs="Arial"/>
        </w:rPr>
        <w:br/>
      </w:r>
      <w:r w:rsidRPr="00BB7BBF">
        <w:rPr>
          <w:b/>
        </w:rPr>
        <w:t>Jeg er klar over at skjemaet vil bli publisert i sin helhet</w:t>
      </w:r>
      <w:r w:rsidR="002879D8">
        <w:rPr>
          <w:b/>
        </w:rPr>
        <w:t xml:space="preserve"> på nyemetoder.no</w:t>
      </w:r>
      <w:r w:rsidRPr="00BB7BBF">
        <w:rPr>
          <w:b/>
        </w:rPr>
        <w:t xml:space="preserve"> (kryss av):                 </w:t>
      </w:r>
      <w:sdt>
        <w:sdtPr>
          <w:rPr>
            <w:b/>
          </w:rPr>
          <w:id w:val="1087498439"/>
          <w14:checkbox>
            <w14:checked w14:val="1"/>
            <w14:checkedState w14:val="2612" w14:font="MS Gothic"/>
            <w14:uncheckedState w14:val="2610" w14:font="MS Gothic"/>
          </w14:checkbox>
        </w:sdtPr>
        <w:sdtEndPr/>
        <w:sdtContent>
          <w:r w:rsidR="00070268">
            <w:rPr>
              <w:rFonts w:ascii="MS Gothic" w:eastAsia="MS Gothic" w:hAnsi="MS Gothic" w:hint="eastAsia"/>
              <w:b/>
            </w:rPr>
            <w:t>☒</w:t>
          </w:r>
        </w:sdtContent>
      </w:sdt>
      <w:r w:rsidR="002879D8">
        <w:rPr>
          <w:b/>
        </w:rPr>
        <w:br/>
      </w:r>
      <w:r w:rsidR="002879D8">
        <w:t>Har du informasjon du mener ikke kan</w:t>
      </w:r>
      <w:r w:rsidR="002879D8" w:rsidRPr="00BB7BBF">
        <w:t xml:space="preserve"> offentliggjøres</w:t>
      </w:r>
      <w:r w:rsidR="002879D8">
        <w:t>,</w:t>
      </w:r>
      <w:r w:rsidR="002879D8" w:rsidRPr="00BB7BBF">
        <w:t xml:space="preserve"> ta kontakt med sekretariatet </w:t>
      </w:r>
      <w:r w:rsidR="002879D8" w:rsidRPr="00BB7BBF">
        <w:rPr>
          <w:u w:val="single"/>
        </w:rPr>
        <w:t>før innsending</w:t>
      </w:r>
      <w:r w:rsidR="002879D8">
        <w:rPr>
          <w:b/>
        </w:rPr>
        <w:t xml:space="preserve">. </w:t>
      </w:r>
    </w:p>
    <w:p w14:paraId="5DD2D648" w14:textId="77777777" w:rsidR="002879D8" w:rsidRDefault="002879D8" w:rsidP="0091218A">
      <w:pPr>
        <w:spacing w:line="240" w:lineRule="auto"/>
        <w:contextualSpacing/>
        <w:jc w:val="both"/>
        <w:rPr>
          <w:b/>
        </w:rPr>
      </w:pPr>
    </w:p>
    <w:p w14:paraId="5F51F778" w14:textId="439617D7" w:rsidR="003E11D8" w:rsidRDefault="003E11D8" w:rsidP="0091218A">
      <w:pPr>
        <w:spacing w:line="240" w:lineRule="auto"/>
        <w:contextualSpacing/>
        <w:jc w:val="both"/>
        <w:rPr>
          <w:rFonts w:ascii="MS Gothic" w:eastAsia="MS Gothic" w:hAnsi="MS Gothic" w:cs="MS Gothic"/>
          <w:b/>
        </w:rPr>
      </w:pPr>
      <w:r>
        <w:rPr>
          <w:b/>
        </w:rPr>
        <w:t>Jeg</w:t>
      </w:r>
      <w:r w:rsidRPr="005805DE">
        <w:rPr>
          <w:b/>
        </w:rPr>
        <w:t xml:space="preserve"> har fylt ut punkt </w:t>
      </w:r>
      <w:r w:rsidR="00885EFB">
        <w:rPr>
          <w:b/>
        </w:rPr>
        <w:t>1</w:t>
      </w:r>
      <w:r w:rsidR="001959E5">
        <w:rPr>
          <w:b/>
        </w:rPr>
        <w:t>1</w:t>
      </w:r>
      <w:r w:rsidRPr="005805DE">
        <w:rPr>
          <w:b/>
        </w:rPr>
        <w:t xml:space="preserve"> ned</w:t>
      </w:r>
      <w:r>
        <w:rPr>
          <w:b/>
        </w:rPr>
        <w:t xml:space="preserve">enfor «Interesser og eventuelle </w:t>
      </w:r>
      <w:r w:rsidRPr="005805DE">
        <w:rPr>
          <w:b/>
        </w:rPr>
        <w:t>interessek</w:t>
      </w:r>
      <w:r>
        <w:rPr>
          <w:b/>
        </w:rPr>
        <w:t xml:space="preserve">onflikter» (kryss av):  </w:t>
      </w:r>
      <w:r w:rsidR="006D3711">
        <w:rPr>
          <w:b/>
        </w:rPr>
        <w:t xml:space="preserve">    </w:t>
      </w:r>
      <w:sdt>
        <w:sdtPr>
          <w:rPr>
            <w:b/>
          </w:rPr>
          <w:id w:val="45337965"/>
          <w14:checkbox>
            <w14:checked w14:val="1"/>
            <w14:checkedState w14:val="2612" w14:font="MS Gothic"/>
            <w14:uncheckedState w14:val="2610" w14:font="MS Gothic"/>
          </w14:checkbox>
        </w:sdtPr>
        <w:sdtEndPr/>
        <w:sdtContent>
          <w:r w:rsidR="00070268">
            <w:rPr>
              <w:rFonts w:ascii="MS Gothic" w:eastAsia="MS Gothic" w:hAnsi="MS Gothic" w:hint="eastAsia"/>
              <w:b/>
            </w:rPr>
            <w:t>☒</w:t>
          </w:r>
        </w:sdtContent>
      </w:sdt>
      <w:r w:rsidRPr="005805DE">
        <w:rPr>
          <w:b/>
        </w:rPr>
        <w:t xml:space="preserve"> </w:t>
      </w:r>
    </w:p>
    <w:p w14:paraId="668FACD4" w14:textId="26C19A35" w:rsidR="003E11D8" w:rsidRDefault="003E11D8" w:rsidP="003E11D8">
      <w:pPr>
        <w:spacing w:line="240" w:lineRule="auto"/>
        <w:contextualSpacing/>
        <w:rPr>
          <w:b/>
        </w:rPr>
      </w:pPr>
    </w:p>
    <w:p w14:paraId="6C45AA23" w14:textId="77777777" w:rsidR="00D53539" w:rsidRDefault="00D53539" w:rsidP="003E11D8">
      <w:pPr>
        <w:spacing w:line="240" w:lineRule="auto"/>
        <w:contextualSpacing/>
        <w:rPr>
          <w:b/>
        </w:rPr>
      </w:pPr>
    </w:p>
    <w:tbl>
      <w:tblPr>
        <w:tblStyle w:val="TableGrid"/>
        <w:tblW w:w="0" w:type="auto"/>
        <w:tblLook w:val="04A0" w:firstRow="1" w:lastRow="0" w:firstColumn="1" w:lastColumn="0" w:noHBand="0" w:noVBand="1"/>
      </w:tblPr>
      <w:tblGrid>
        <w:gridCol w:w="4077"/>
        <w:gridCol w:w="4678"/>
      </w:tblGrid>
      <w:tr w:rsidR="003E11D8" w14:paraId="0A3EAB97" w14:textId="77777777" w:rsidTr="0086697D">
        <w:trPr>
          <w:trHeight w:val="20"/>
        </w:trPr>
        <w:tc>
          <w:tcPr>
            <w:tcW w:w="8755" w:type="dxa"/>
            <w:gridSpan w:val="2"/>
          </w:tcPr>
          <w:p w14:paraId="30E632FC" w14:textId="1FB733E8" w:rsidR="003E11D8" w:rsidRPr="001143A3" w:rsidRDefault="003E11D8" w:rsidP="0091218A">
            <w:pPr>
              <w:pStyle w:val="Heading3"/>
              <w:spacing w:after="240"/>
              <w:jc w:val="both"/>
              <w:outlineLvl w:val="2"/>
              <w:rPr>
                <w:color w:val="auto"/>
              </w:rPr>
            </w:pPr>
            <w:r w:rsidRPr="001143A3">
              <w:rPr>
                <w:color w:val="auto"/>
              </w:rPr>
              <w:t>1.Hvilken metode</w:t>
            </w:r>
            <w:r w:rsidR="005079D3">
              <w:rPr>
                <w:color w:val="auto"/>
              </w:rPr>
              <w:t xml:space="preserve"> gjelder innspillet</w:t>
            </w:r>
            <w:r w:rsidR="0091218A">
              <w:rPr>
                <w:color w:val="auto"/>
              </w:rPr>
              <w:t>?</w:t>
            </w:r>
          </w:p>
        </w:tc>
      </w:tr>
      <w:tr w:rsidR="003E11D8" w14:paraId="482D3D4F" w14:textId="77777777" w:rsidTr="0086697D">
        <w:tc>
          <w:tcPr>
            <w:tcW w:w="4077" w:type="dxa"/>
          </w:tcPr>
          <w:p w14:paraId="2149829E" w14:textId="77777777" w:rsidR="003E11D8" w:rsidRDefault="003E11D8" w:rsidP="0086697D">
            <w:r>
              <w:t>Metodens ID nummer*:</w:t>
            </w:r>
          </w:p>
        </w:tc>
        <w:tc>
          <w:tcPr>
            <w:tcW w:w="4678" w:type="dxa"/>
          </w:tcPr>
          <w:p w14:paraId="1C24BB2C" w14:textId="20CF6DB6" w:rsidR="006F6B4F" w:rsidRDefault="00E97A62" w:rsidP="0086697D">
            <w:r>
              <w:t>ID2022_003</w:t>
            </w:r>
          </w:p>
        </w:tc>
      </w:tr>
      <w:tr w:rsidR="003E11D8" w14:paraId="4951779C" w14:textId="77777777" w:rsidTr="0086697D">
        <w:tc>
          <w:tcPr>
            <w:tcW w:w="4077" w:type="dxa"/>
          </w:tcPr>
          <w:p w14:paraId="0A95CDA1" w14:textId="77777777" w:rsidR="003E11D8" w:rsidRDefault="003E11D8" w:rsidP="0086697D">
            <w:r>
              <w:t>Metodens tittel:</w:t>
            </w:r>
          </w:p>
        </w:tc>
        <w:tc>
          <w:tcPr>
            <w:tcW w:w="4678" w:type="dxa"/>
          </w:tcPr>
          <w:p w14:paraId="2FFE495E" w14:textId="6AD8EC80" w:rsidR="006F6B4F" w:rsidRDefault="00E97A62" w:rsidP="0086697D">
            <w:r w:rsidRPr="00E97A62">
              <w:rPr>
                <w:rFonts w:ascii="Calibri" w:hAnsi="Calibri" w:cs="Calibri"/>
                <w:color w:val="222222"/>
                <w:shd w:val="clear" w:color="auto" w:fill="F2F2F2"/>
              </w:rPr>
              <w:t>Kombinasjonsbehandling med med aksitinib (Inlyta) til førstelinjebehandling av avansert nyrecellekarsinom (RCC)</w:t>
            </w:r>
          </w:p>
        </w:tc>
      </w:tr>
    </w:tbl>
    <w:p w14:paraId="55667B0E" w14:textId="013DE55A" w:rsidR="003E11D8" w:rsidRDefault="005079D3" w:rsidP="003E11D8">
      <w:pPr>
        <w:spacing w:line="240" w:lineRule="auto"/>
        <w:contextualSpacing/>
        <w:rPr>
          <w:sz w:val="18"/>
          <w:szCs w:val="24"/>
        </w:rPr>
      </w:pPr>
      <w:r>
        <w:rPr>
          <w:sz w:val="18"/>
          <w:szCs w:val="24"/>
        </w:rPr>
        <w:t>*ID-nummer finner du på metodesiden på n</w:t>
      </w:r>
      <w:r w:rsidR="00D1082E">
        <w:rPr>
          <w:sz w:val="18"/>
          <w:szCs w:val="24"/>
        </w:rPr>
        <w:t>yemetoder.no og har formen ID2020</w:t>
      </w:r>
      <w:r w:rsidR="003E11D8" w:rsidRPr="00614AEB">
        <w:rPr>
          <w:sz w:val="18"/>
          <w:szCs w:val="24"/>
        </w:rPr>
        <w:t>_XX</w:t>
      </w:r>
      <w:r>
        <w:rPr>
          <w:sz w:val="18"/>
          <w:szCs w:val="24"/>
        </w:rPr>
        <w:t>X</w:t>
      </w:r>
    </w:p>
    <w:p w14:paraId="3E94528F" w14:textId="77777777" w:rsidR="00D53539" w:rsidRPr="00485D6B" w:rsidRDefault="00D53539" w:rsidP="003E11D8">
      <w:pPr>
        <w:spacing w:line="240" w:lineRule="auto"/>
        <w:contextualSpacing/>
        <w:rPr>
          <w:sz w:val="18"/>
          <w:szCs w:val="24"/>
        </w:rPr>
      </w:pPr>
    </w:p>
    <w:tbl>
      <w:tblPr>
        <w:tblStyle w:val="TableGrid"/>
        <w:tblW w:w="0" w:type="auto"/>
        <w:tblLook w:val="04A0" w:firstRow="1" w:lastRow="0" w:firstColumn="1" w:lastColumn="0" w:noHBand="0" w:noVBand="1"/>
      </w:tblPr>
      <w:tblGrid>
        <w:gridCol w:w="4077"/>
        <w:gridCol w:w="4678"/>
      </w:tblGrid>
      <w:tr w:rsidR="003E11D8" w14:paraId="242023A4" w14:textId="77777777" w:rsidTr="0086697D">
        <w:tc>
          <w:tcPr>
            <w:tcW w:w="8755" w:type="dxa"/>
            <w:gridSpan w:val="2"/>
          </w:tcPr>
          <w:p w14:paraId="578BAAB1" w14:textId="77777777" w:rsidR="003E11D8" w:rsidRDefault="003E11D8" w:rsidP="0091218A">
            <w:pPr>
              <w:pStyle w:val="Heading3"/>
              <w:spacing w:after="240"/>
              <w:jc w:val="both"/>
              <w:outlineLvl w:val="2"/>
            </w:pPr>
            <w:r w:rsidRPr="001143A3">
              <w:rPr>
                <w:color w:val="auto"/>
              </w:rPr>
              <w:t>2. Opplysninger om den som gir innspill</w:t>
            </w:r>
          </w:p>
        </w:tc>
      </w:tr>
      <w:tr w:rsidR="003E11D8" w14:paraId="3B1C4A5C" w14:textId="77777777" w:rsidTr="0086697D">
        <w:tc>
          <w:tcPr>
            <w:tcW w:w="4077" w:type="dxa"/>
          </w:tcPr>
          <w:p w14:paraId="00040E2B" w14:textId="77777777" w:rsidR="003E11D8" w:rsidRDefault="005079D3" w:rsidP="0086697D">
            <w:r>
              <w:t xml:space="preserve">Navn </w:t>
            </w:r>
          </w:p>
        </w:tc>
        <w:tc>
          <w:tcPr>
            <w:tcW w:w="4678" w:type="dxa"/>
          </w:tcPr>
          <w:p w14:paraId="36A034F4" w14:textId="7D4763A3" w:rsidR="008639F1" w:rsidRDefault="00E97A62" w:rsidP="0086697D">
            <w:r>
              <w:t>Hilde Enserink, Anne Lebesby Høeg</w:t>
            </w:r>
          </w:p>
        </w:tc>
      </w:tr>
      <w:tr w:rsidR="003E11D8" w14:paraId="09E926A0" w14:textId="77777777" w:rsidTr="0086697D">
        <w:tc>
          <w:tcPr>
            <w:tcW w:w="4077" w:type="dxa"/>
          </w:tcPr>
          <w:p w14:paraId="475D8B54" w14:textId="77777777" w:rsidR="003E11D8" w:rsidRDefault="003E11D8" w:rsidP="0086697D">
            <w:r>
              <w:t>Eventuell organisasjon/arbeidsplass</w:t>
            </w:r>
          </w:p>
        </w:tc>
        <w:tc>
          <w:tcPr>
            <w:tcW w:w="4678" w:type="dxa"/>
          </w:tcPr>
          <w:p w14:paraId="6AB70289" w14:textId="2195E01F" w:rsidR="008639F1" w:rsidRDefault="00E97A62" w:rsidP="0086697D">
            <w:r>
              <w:t>MSD Norge AS</w:t>
            </w:r>
          </w:p>
        </w:tc>
      </w:tr>
      <w:tr w:rsidR="003E11D8" w14:paraId="1BB2B375" w14:textId="77777777" w:rsidTr="0086697D">
        <w:tc>
          <w:tcPr>
            <w:tcW w:w="4077" w:type="dxa"/>
          </w:tcPr>
          <w:p w14:paraId="507B8E55" w14:textId="77777777" w:rsidR="003E11D8" w:rsidRDefault="005079D3" w:rsidP="005079D3">
            <w:r>
              <w:t>Kontaktinformasjon</w:t>
            </w:r>
            <w:r w:rsidR="003E11D8">
              <w:t xml:space="preserve"> (e-post / telefon)</w:t>
            </w:r>
          </w:p>
        </w:tc>
        <w:tc>
          <w:tcPr>
            <w:tcW w:w="4678" w:type="dxa"/>
          </w:tcPr>
          <w:p w14:paraId="2F103449" w14:textId="444E8E70" w:rsidR="008639F1" w:rsidRDefault="00070268" w:rsidP="0086697D">
            <w:hyperlink r:id="rId11" w:history="1">
              <w:r w:rsidR="008F3592" w:rsidRPr="007B5772">
                <w:rPr>
                  <w:rStyle w:val="Hyperlink"/>
                </w:rPr>
                <w:t>Anne_lebesbyhoeg@merck.com</w:t>
              </w:r>
            </w:hyperlink>
            <w:r w:rsidR="00410304">
              <w:rPr>
                <w:rStyle w:val="Hyperlink"/>
              </w:rPr>
              <w:t xml:space="preserve"> /91392790</w:t>
            </w:r>
          </w:p>
        </w:tc>
      </w:tr>
    </w:tbl>
    <w:p w14:paraId="319B484D" w14:textId="77777777" w:rsidR="003E11D8" w:rsidRPr="00D1082E" w:rsidRDefault="003E11D8" w:rsidP="0091218A">
      <w:pPr>
        <w:pStyle w:val="Heading3"/>
        <w:spacing w:after="240" w:line="240" w:lineRule="auto"/>
        <w:jc w:val="both"/>
        <w:rPr>
          <w:color w:val="auto"/>
          <w:sz w:val="16"/>
          <w:szCs w:val="16"/>
        </w:rPr>
      </w:pPr>
    </w:p>
    <w:tbl>
      <w:tblPr>
        <w:tblStyle w:val="TableGrid"/>
        <w:tblW w:w="0" w:type="auto"/>
        <w:tblLook w:val="04A0" w:firstRow="1" w:lastRow="0" w:firstColumn="1" w:lastColumn="0" w:noHBand="0" w:noVBand="1"/>
      </w:tblPr>
      <w:tblGrid>
        <w:gridCol w:w="8784"/>
      </w:tblGrid>
      <w:tr w:rsidR="00C354DD" w:rsidRPr="0091218A" w14:paraId="5EFBD12F" w14:textId="77777777" w:rsidTr="08ADAF1C">
        <w:tc>
          <w:tcPr>
            <w:tcW w:w="8784" w:type="dxa"/>
          </w:tcPr>
          <w:p w14:paraId="2D317FAD" w14:textId="6DCA16D0" w:rsidR="00C354DD" w:rsidRPr="0091218A" w:rsidRDefault="00702941" w:rsidP="0091218A">
            <w:pPr>
              <w:pStyle w:val="Heading3"/>
              <w:spacing w:after="240"/>
              <w:jc w:val="both"/>
              <w:outlineLvl w:val="2"/>
              <w:rPr>
                <w:color w:val="auto"/>
              </w:rPr>
            </w:pPr>
            <w:r w:rsidRPr="0091218A">
              <w:rPr>
                <w:color w:val="auto"/>
              </w:rPr>
              <w:t xml:space="preserve">3. </w:t>
            </w:r>
            <w:r w:rsidR="00C354DD" w:rsidRPr="0091218A">
              <w:rPr>
                <w:color w:val="auto"/>
              </w:rPr>
              <w:t>Oppsummert innspill til metoden (besvares av alle)</w:t>
            </w:r>
          </w:p>
        </w:tc>
      </w:tr>
      <w:tr w:rsidR="00C354DD" w14:paraId="17D30855" w14:textId="77777777" w:rsidTr="08ADAF1C">
        <w:trPr>
          <w:trHeight w:val="512"/>
        </w:trPr>
        <w:tc>
          <w:tcPr>
            <w:tcW w:w="8784" w:type="dxa"/>
          </w:tcPr>
          <w:p w14:paraId="272DC609" w14:textId="77777777" w:rsidR="00737847" w:rsidRDefault="00737847" w:rsidP="00737847"/>
          <w:p w14:paraId="664E81BB" w14:textId="77777777" w:rsidR="00BD0649" w:rsidRDefault="00737847" w:rsidP="00BD0649">
            <w:r>
              <w:t>MSD foreslår spor B</w:t>
            </w:r>
            <w:r w:rsidR="00AE48BC">
              <w:t>, ikke A</w:t>
            </w:r>
            <w:r w:rsidR="00BD0649">
              <w:t>,</w:t>
            </w:r>
            <w:r w:rsidR="00AE48BC">
              <w:t xml:space="preserve"> som </w:t>
            </w:r>
            <w:r w:rsidR="00AE48BC" w:rsidRPr="08ADAF1C">
              <w:rPr>
                <w:rFonts w:ascii="Calibri" w:eastAsia="Calibri" w:hAnsi="Calibri" w:cs="Calibri"/>
              </w:rPr>
              <w:t xml:space="preserve">metodeforslaget </w:t>
            </w:r>
            <w:r w:rsidR="00AE48BC">
              <w:t>ID2022_003</w:t>
            </w:r>
            <w:r w:rsidR="00AE48BC" w:rsidRPr="08ADAF1C">
              <w:rPr>
                <w:rFonts w:ascii="Calibri" w:eastAsia="Calibri" w:hAnsi="Calibri" w:cs="Calibri"/>
              </w:rPr>
              <w:t xml:space="preserve"> (Merk og Pfizer)</w:t>
            </w:r>
            <w:r w:rsidR="00AE48BC">
              <w:t xml:space="preserve">, dersom det </w:t>
            </w:r>
            <w:r w:rsidR="00BD0649">
              <w:t>aksepteres</w:t>
            </w:r>
            <w:r w:rsidR="00AE48BC">
              <w:t xml:space="preserve"> en forenklet reevaluering av </w:t>
            </w:r>
            <w:r w:rsidR="00AE48BC" w:rsidRPr="08ADAF1C">
              <w:rPr>
                <w:rFonts w:ascii="Calibri" w:eastAsia="Calibri" w:hAnsi="Calibri" w:cs="Calibri"/>
              </w:rPr>
              <w:t xml:space="preserve">Metoden </w:t>
            </w:r>
            <w:r w:rsidR="00AE48BC">
              <w:t>ID2019_065 avalumab+aksitinib</w:t>
            </w:r>
            <w:r w:rsidR="00BD0649">
              <w:t xml:space="preserve"> som ble avslått i august 2020 (spor C). </w:t>
            </w:r>
          </w:p>
          <w:p w14:paraId="17BB8004" w14:textId="77777777" w:rsidR="00737847" w:rsidRDefault="00737847" w:rsidP="00737847"/>
          <w:p w14:paraId="2FF42B20" w14:textId="56266B72" w:rsidR="00BD0649" w:rsidRDefault="2F6C9844" w:rsidP="08ADAF1C">
            <w:pPr>
              <w:rPr>
                <w:rFonts w:ascii="Calibri" w:eastAsia="Calibri" w:hAnsi="Calibri" w:cs="Calibri"/>
              </w:rPr>
            </w:pPr>
            <w:r w:rsidRPr="08ADAF1C">
              <w:rPr>
                <w:rFonts w:ascii="Calibri" w:eastAsia="Calibri" w:hAnsi="Calibri" w:cs="Calibri"/>
              </w:rPr>
              <w:t xml:space="preserve">Innsenderne av metodeforslaget </w:t>
            </w:r>
            <w:r>
              <w:t>ID2022_003</w:t>
            </w:r>
            <w:r w:rsidRPr="08ADAF1C">
              <w:rPr>
                <w:rFonts w:ascii="Calibri" w:eastAsia="Calibri" w:hAnsi="Calibri" w:cs="Calibri"/>
              </w:rPr>
              <w:t xml:space="preserve"> (Merk og Pfizer) har foreslått en revurdering av avelumab i kombinasjon med aksitinib til førstelinjebehandling av avansert nyrecellekarsinom (</w:t>
            </w:r>
            <w:r w:rsidR="002B2CCB">
              <w:rPr>
                <w:rFonts w:ascii="Calibri" w:eastAsia="Calibri" w:hAnsi="Calibri" w:cs="Calibri"/>
              </w:rPr>
              <w:t>1L a</w:t>
            </w:r>
            <w:r w:rsidRPr="08ADAF1C">
              <w:rPr>
                <w:rFonts w:ascii="Calibri" w:eastAsia="Calibri" w:hAnsi="Calibri" w:cs="Calibri"/>
              </w:rPr>
              <w:t>RCC)</w:t>
            </w:r>
            <w:r w:rsidR="00C64B4F">
              <w:rPr>
                <w:rFonts w:ascii="Calibri" w:eastAsia="Calibri" w:hAnsi="Calibri" w:cs="Calibri"/>
              </w:rPr>
              <w:t xml:space="preserve"> basert på studien JAVELIN Renal 101</w:t>
            </w:r>
            <w:r w:rsidR="00BD0649">
              <w:rPr>
                <w:rFonts w:ascii="Calibri" w:eastAsia="Calibri" w:hAnsi="Calibri" w:cs="Calibri"/>
              </w:rPr>
              <w:t>. Dette for å gi onkologer flere alternativer i verktøykassa for behandling av pasienter med avanseert RCC.</w:t>
            </w:r>
          </w:p>
          <w:p w14:paraId="40D02EC6" w14:textId="77777777" w:rsidR="002B2CCB" w:rsidRDefault="002B2CCB" w:rsidP="08ADAF1C">
            <w:pPr>
              <w:spacing w:line="257" w:lineRule="auto"/>
              <w:rPr>
                <w:rFonts w:ascii="Calibri" w:hAnsi="Calibri" w:cs="Calibri"/>
                <w:i/>
                <w:iCs/>
                <w:color w:val="222222"/>
              </w:rPr>
            </w:pPr>
          </w:p>
          <w:p w14:paraId="277A511E" w14:textId="715CCF93" w:rsidR="006F6B4F" w:rsidRDefault="00E70E7E" w:rsidP="00AF44AB">
            <w:pPr>
              <w:rPr>
                <w:rFonts w:ascii="Calibri" w:hAnsi="Calibri" w:cs="Calibri"/>
                <w:color w:val="222222"/>
              </w:rPr>
            </w:pPr>
            <w:r>
              <w:lastRenderedPageBreak/>
              <w:t xml:space="preserve">MSD viser til tidligere metodevurdering og avslag for denne behandlingen der bla stor usikkerhet i totaloverlevelse var en hovedargumentene (ID2019_065). </w:t>
            </w:r>
            <w:r w:rsidR="00147095">
              <w:rPr>
                <w:rFonts w:ascii="Calibri" w:hAnsi="Calibri" w:cs="Calibri"/>
                <w:color w:val="222222"/>
              </w:rPr>
              <w:t>MSD mener at følgende punkter er viktige i valg av metodeløp</w:t>
            </w:r>
            <w:r w:rsidR="00BD0649">
              <w:rPr>
                <w:rFonts w:ascii="Calibri" w:hAnsi="Calibri" w:cs="Calibri"/>
                <w:color w:val="222222"/>
              </w:rPr>
              <w:t>et</w:t>
            </w:r>
            <w:r w:rsidR="00147095">
              <w:rPr>
                <w:rFonts w:ascii="Calibri" w:hAnsi="Calibri" w:cs="Calibri"/>
                <w:color w:val="222222"/>
              </w:rPr>
              <w:t xml:space="preserve">: </w:t>
            </w:r>
          </w:p>
          <w:p w14:paraId="754BDAF3" w14:textId="77777777" w:rsidR="00F056A7" w:rsidRDefault="00F056A7" w:rsidP="08ADAF1C">
            <w:pPr>
              <w:spacing w:line="257" w:lineRule="auto"/>
              <w:rPr>
                <w:rFonts w:ascii="Calibri" w:hAnsi="Calibri" w:cs="Calibri"/>
                <w:i/>
                <w:iCs/>
                <w:color w:val="222222"/>
              </w:rPr>
            </w:pPr>
          </w:p>
          <w:p w14:paraId="28960F71" w14:textId="12F63C3E" w:rsidR="006F6B4F" w:rsidRPr="00AF44AB" w:rsidRDefault="2F6C9844" w:rsidP="08ADAF1C">
            <w:pPr>
              <w:pStyle w:val="ListParagraph"/>
              <w:numPr>
                <w:ilvl w:val="0"/>
                <w:numId w:val="12"/>
              </w:numPr>
              <w:rPr>
                <w:rFonts w:eastAsiaTheme="minorEastAsia"/>
              </w:rPr>
            </w:pPr>
            <w:r w:rsidRPr="08ADAF1C">
              <w:rPr>
                <w:rFonts w:ascii="Calibri" w:eastAsia="Calibri" w:hAnsi="Calibri" w:cs="Calibri"/>
              </w:rPr>
              <w:t xml:space="preserve">JAVELIN Renal 101 studien har ikke </w:t>
            </w:r>
            <w:r w:rsidR="008C3CB9">
              <w:rPr>
                <w:rFonts w:ascii="Calibri" w:eastAsia="Calibri" w:hAnsi="Calibri" w:cs="Calibri"/>
              </w:rPr>
              <w:t xml:space="preserve">dokumentert statistisk </w:t>
            </w:r>
            <w:r w:rsidR="00AB208F">
              <w:rPr>
                <w:rFonts w:ascii="Calibri" w:eastAsia="Calibri" w:hAnsi="Calibri" w:cs="Calibri"/>
              </w:rPr>
              <w:t xml:space="preserve">signifikante </w:t>
            </w:r>
            <w:r w:rsidR="00437184">
              <w:rPr>
                <w:rFonts w:ascii="Calibri" w:eastAsia="Calibri" w:hAnsi="Calibri" w:cs="Calibri"/>
              </w:rPr>
              <w:t>overlevelsesdata</w:t>
            </w:r>
            <w:r w:rsidR="00081E52">
              <w:rPr>
                <w:rFonts w:ascii="Calibri" w:eastAsia="Calibri" w:hAnsi="Calibri" w:cs="Calibri"/>
              </w:rPr>
              <w:t xml:space="preserve"> (OS).</w:t>
            </w:r>
            <w:r w:rsidR="008C3CB9">
              <w:rPr>
                <w:rFonts w:ascii="Calibri" w:eastAsia="Calibri" w:hAnsi="Calibri" w:cs="Calibri"/>
              </w:rPr>
              <w:t xml:space="preserve"> Dette er i motsetning til de andre innførte metodene i denne gruppen</w:t>
            </w:r>
          </w:p>
          <w:p w14:paraId="0B71DD42" w14:textId="452730FC" w:rsidR="008C3CB9" w:rsidRDefault="008C3CB9" w:rsidP="08ADAF1C">
            <w:pPr>
              <w:pStyle w:val="ListParagraph"/>
              <w:numPr>
                <w:ilvl w:val="0"/>
                <w:numId w:val="12"/>
              </w:numPr>
              <w:rPr>
                <w:rFonts w:eastAsiaTheme="minorEastAsia"/>
              </w:rPr>
            </w:pPr>
            <w:r>
              <w:rPr>
                <w:rFonts w:ascii="Calibri" w:eastAsia="Calibri" w:hAnsi="Calibri" w:cs="Calibri"/>
              </w:rPr>
              <w:t>Behandling basert på JAVELIN Renal 101 er ikke anbefalt i internasjonale retningslinjer</w:t>
            </w:r>
            <w:r w:rsidR="00660FA5">
              <w:rPr>
                <w:rFonts w:ascii="Calibri" w:eastAsia="Calibri" w:hAnsi="Calibri" w:cs="Calibri"/>
              </w:rPr>
              <w:t xml:space="preserve"> </w:t>
            </w:r>
            <w:r>
              <w:rPr>
                <w:rFonts w:ascii="Calibri" w:eastAsia="Calibri" w:hAnsi="Calibri" w:cs="Calibri"/>
              </w:rPr>
              <w:t>(ESMO, EAU</w:t>
            </w:r>
            <w:r w:rsidR="00660FA5">
              <w:rPr>
                <w:rFonts w:ascii="Calibri" w:eastAsia="Calibri" w:hAnsi="Calibri" w:cs="Calibri"/>
              </w:rPr>
              <w:t>)</w:t>
            </w:r>
            <w:r w:rsidR="00737847">
              <w:rPr>
                <w:rFonts w:ascii="Calibri" w:eastAsia="Calibri" w:hAnsi="Calibri" w:cs="Calibri"/>
              </w:rPr>
              <w:t>. Dette er i motsetning til de andre innførte metodene i denne gruppen</w:t>
            </w:r>
            <w:r w:rsidR="00BD0649">
              <w:rPr>
                <w:rFonts w:ascii="Calibri" w:eastAsia="Calibri" w:hAnsi="Calibri" w:cs="Calibri"/>
              </w:rPr>
              <w:t>.</w:t>
            </w:r>
          </w:p>
          <w:p w14:paraId="09628724" w14:textId="2770D900" w:rsidR="00C35183" w:rsidRPr="00C35183" w:rsidRDefault="2F6C9844" w:rsidP="00B80DEC">
            <w:pPr>
              <w:pStyle w:val="ListParagraph"/>
              <w:numPr>
                <w:ilvl w:val="0"/>
                <w:numId w:val="12"/>
              </w:numPr>
              <w:rPr>
                <w:rFonts w:eastAsiaTheme="minorEastAsia"/>
              </w:rPr>
            </w:pPr>
            <w:r w:rsidRPr="08ADAF1C">
              <w:rPr>
                <w:rFonts w:ascii="Calibri" w:eastAsia="Calibri" w:hAnsi="Calibri" w:cs="Calibri"/>
              </w:rPr>
              <w:t xml:space="preserve">JAVELIN Renal 101 </w:t>
            </w:r>
            <w:r w:rsidR="21F4A5CA" w:rsidRPr="08ADAF1C">
              <w:rPr>
                <w:rFonts w:ascii="Calibri" w:eastAsia="Calibri" w:hAnsi="Calibri" w:cs="Calibri"/>
              </w:rPr>
              <w:t xml:space="preserve">er </w:t>
            </w:r>
            <w:r w:rsidR="6A923831" w:rsidRPr="08ADAF1C">
              <w:rPr>
                <w:rFonts w:ascii="Calibri" w:eastAsia="Calibri" w:hAnsi="Calibri" w:cs="Calibri"/>
              </w:rPr>
              <w:t xml:space="preserve">designet </w:t>
            </w:r>
            <w:r w:rsidR="00147095">
              <w:rPr>
                <w:rFonts w:ascii="Calibri" w:eastAsia="Calibri" w:hAnsi="Calibri" w:cs="Calibri"/>
              </w:rPr>
              <w:t xml:space="preserve">med primærendepunkter (PFS og OS) </w:t>
            </w:r>
            <w:r w:rsidR="6A923831" w:rsidRPr="08ADAF1C">
              <w:rPr>
                <w:rFonts w:ascii="Calibri" w:eastAsia="Calibri" w:hAnsi="Calibri" w:cs="Calibri"/>
              </w:rPr>
              <w:t>for</w:t>
            </w:r>
            <w:r w:rsidRPr="08ADAF1C">
              <w:rPr>
                <w:rFonts w:ascii="Calibri" w:eastAsia="Calibri" w:hAnsi="Calibri" w:cs="Calibri"/>
              </w:rPr>
              <w:t xml:space="preserve"> PD-L1 positive pasienter. </w:t>
            </w:r>
            <w:r w:rsidR="51915299" w:rsidRPr="08ADAF1C">
              <w:rPr>
                <w:rFonts w:ascii="Calibri" w:eastAsia="Calibri" w:hAnsi="Calibri" w:cs="Calibri"/>
              </w:rPr>
              <w:t xml:space="preserve">Det er ikke </w:t>
            </w:r>
            <w:r w:rsidR="00147095">
              <w:rPr>
                <w:rFonts w:ascii="Calibri" w:eastAsia="Calibri" w:hAnsi="Calibri" w:cs="Calibri"/>
              </w:rPr>
              <w:t xml:space="preserve">etablert </w:t>
            </w:r>
            <w:r w:rsidR="51915299" w:rsidRPr="08ADAF1C">
              <w:rPr>
                <w:rFonts w:ascii="Calibri" w:eastAsia="Calibri" w:hAnsi="Calibri" w:cs="Calibri"/>
              </w:rPr>
              <w:t>seleksjon basert på PD</w:t>
            </w:r>
            <w:r w:rsidR="6D3A34B4" w:rsidRPr="08ADAF1C">
              <w:rPr>
                <w:rFonts w:ascii="Calibri" w:eastAsia="Calibri" w:hAnsi="Calibri" w:cs="Calibri"/>
              </w:rPr>
              <w:t>-L</w:t>
            </w:r>
            <w:r w:rsidR="51915299" w:rsidRPr="08ADAF1C">
              <w:rPr>
                <w:rFonts w:ascii="Calibri" w:eastAsia="Calibri" w:hAnsi="Calibri" w:cs="Calibri"/>
              </w:rPr>
              <w:t>1 positive pasienter i dagens anbud</w:t>
            </w:r>
            <w:r w:rsidR="00C50CCD">
              <w:rPr>
                <w:rFonts w:ascii="Calibri" w:eastAsia="Calibri" w:hAnsi="Calibri" w:cs="Calibri"/>
              </w:rPr>
              <w:t xml:space="preserve">. </w:t>
            </w:r>
          </w:p>
          <w:p w14:paraId="1105DCCE" w14:textId="0B8EFC88" w:rsidR="00B80DEC" w:rsidRDefault="00B80DEC" w:rsidP="00B80DEC">
            <w:pPr>
              <w:rPr>
                <w:rFonts w:eastAsiaTheme="minorEastAsia"/>
              </w:rPr>
            </w:pPr>
          </w:p>
          <w:p w14:paraId="08DCD066" w14:textId="18264B90" w:rsidR="00147095" w:rsidRDefault="00147095" w:rsidP="00147095">
            <w:pPr>
              <w:spacing w:line="257" w:lineRule="auto"/>
              <w:rPr>
                <w:rFonts w:ascii="Calibri" w:eastAsia="Calibri" w:hAnsi="Calibri" w:cs="Calibri"/>
              </w:rPr>
            </w:pPr>
            <w:r>
              <w:rPr>
                <w:rFonts w:ascii="Calibri" w:eastAsia="Calibri" w:hAnsi="Calibri" w:cs="Calibri"/>
              </w:rPr>
              <w:t xml:space="preserve">Basert på dette mener </w:t>
            </w:r>
            <w:r w:rsidRPr="08ADAF1C">
              <w:rPr>
                <w:rFonts w:ascii="Calibri" w:eastAsia="Calibri" w:hAnsi="Calibri" w:cs="Calibri"/>
              </w:rPr>
              <w:t xml:space="preserve">MSD </w:t>
            </w:r>
            <w:r>
              <w:rPr>
                <w:rFonts w:ascii="Calibri" w:eastAsia="Calibri" w:hAnsi="Calibri" w:cs="Calibri"/>
              </w:rPr>
              <w:t>at avelumab+aksitinib ikke kan plasseres rett i metodeløp A, men må gjennomgå en reel revurdering basert på en relativ effektvurdering</w:t>
            </w:r>
            <w:r w:rsidR="00B04AEB">
              <w:rPr>
                <w:rFonts w:ascii="Calibri" w:eastAsia="Calibri" w:hAnsi="Calibri" w:cs="Calibri"/>
              </w:rPr>
              <w:t>.</w:t>
            </w:r>
            <w:r>
              <w:rPr>
                <w:rFonts w:ascii="Calibri" w:eastAsia="Calibri" w:hAnsi="Calibri" w:cs="Calibri"/>
              </w:rPr>
              <w:t xml:space="preserve"> </w:t>
            </w:r>
            <w:r w:rsidR="00B04AEB">
              <w:rPr>
                <w:rFonts w:ascii="Calibri" w:eastAsia="Calibri" w:hAnsi="Calibri" w:cs="Calibri"/>
              </w:rPr>
              <w:t>En evaluering i metodeløp B</w:t>
            </w:r>
            <w:r w:rsidR="00B04AEB" w:rsidRPr="08ADAF1C">
              <w:rPr>
                <w:rFonts w:ascii="Calibri" w:eastAsia="Calibri" w:hAnsi="Calibri" w:cs="Calibri"/>
              </w:rPr>
              <w:t xml:space="preserve"> </w:t>
            </w:r>
            <w:r w:rsidR="00B04AEB">
              <w:rPr>
                <w:rFonts w:ascii="Calibri" w:eastAsia="Calibri" w:hAnsi="Calibri" w:cs="Calibri"/>
              </w:rPr>
              <w:t>vil</w:t>
            </w:r>
            <w:r w:rsidR="00737847">
              <w:rPr>
                <w:rFonts w:ascii="Calibri" w:eastAsia="Calibri" w:hAnsi="Calibri" w:cs="Calibri"/>
              </w:rPr>
              <w:t xml:space="preserve"> s</w:t>
            </w:r>
            <w:r>
              <w:rPr>
                <w:rFonts w:ascii="Calibri" w:eastAsia="Calibri" w:hAnsi="Calibri" w:cs="Calibri"/>
              </w:rPr>
              <w:t>ikre at kliniske data støtter innføringen</w:t>
            </w:r>
            <w:r w:rsidR="00737847">
              <w:rPr>
                <w:rFonts w:ascii="Calibri" w:eastAsia="Calibri" w:hAnsi="Calibri" w:cs="Calibri"/>
              </w:rPr>
              <w:t xml:space="preserve">, </w:t>
            </w:r>
            <w:r>
              <w:rPr>
                <w:rFonts w:ascii="Calibri" w:eastAsia="Calibri" w:hAnsi="Calibri" w:cs="Calibri"/>
              </w:rPr>
              <w:t xml:space="preserve"> ikke at metoden innføres basert på godkjennelse av andre behandlinger.</w:t>
            </w:r>
          </w:p>
          <w:p w14:paraId="0F1C16D6" w14:textId="77777777" w:rsidR="006F587A" w:rsidRDefault="006F587A" w:rsidP="08ADAF1C">
            <w:pPr>
              <w:spacing w:line="257" w:lineRule="auto"/>
            </w:pPr>
          </w:p>
          <w:p w14:paraId="50DC5D67" w14:textId="3B707A7D" w:rsidR="008F4895" w:rsidRDefault="3FD4BC5B" w:rsidP="08ADAF1C">
            <w:pPr>
              <w:spacing w:line="257" w:lineRule="auto"/>
              <w:rPr>
                <w:rFonts w:ascii="Calibri" w:eastAsia="Calibri" w:hAnsi="Calibri" w:cs="Calibri"/>
              </w:rPr>
            </w:pPr>
            <w:r w:rsidRPr="08ADAF1C">
              <w:rPr>
                <w:rFonts w:ascii="Calibri" w:eastAsia="Calibri" w:hAnsi="Calibri" w:cs="Calibri"/>
              </w:rPr>
              <w:t xml:space="preserve">Dersom Norge anbefaler denne kombinasjonen </w:t>
            </w:r>
            <w:r w:rsidR="008F4895">
              <w:rPr>
                <w:rFonts w:ascii="Calibri" w:eastAsia="Calibri" w:hAnsi="Calibri" w:cs="Calibri"/>
              </w:rPr>
              <w:t xml:space="preserve">uten en grundigere metodevurdering </w:t>
            </w:r>
            <w:r w:rsidRPr="08ADAF1C">
              <w:rPr>
                <w:rFonts w:ascii="Calibri" w:eastAsia="Calibri" w:hAnsi="Calibri" w:cs="Calibri"/>
              </w:rPr>
              <w:t>vil det kunne stilles kritisk blikk fra pasienter og pårørende mot hvorvidt vi legger mest vekt på pris og ikke</w:t>
            </w:r>
            <w:r w:rsidR="008F4895">
              <w:rPr>
                <w:rFonts w:ascii="Calibri" w:eastAsia="Calibri" w:hAnsi="Calibri" w:cs="Calibri"/>
              </w:rPr>
              <w:t xml:space="preserve"> </w:t>
            </w:r>
            <w:r w:rsidRPr="08ADAF1C">
              <w:rPr>
                <w:rFonts w:ascii="Calibri" w:eastAsia="Calibri" w:hAnsi="Calibri" w:cs="Calibri"/>
              </w:rPr>
              <w:t>behandlingen med best dokumentert effekt</w:t>
            </w:r>
            <w:r w:rsidR="00181BCB">
              <w:rPr>
                <w:rFonts w:ascii="Calibri" w:eastAsia="Calibri" w:hAnsi="Calibri" w:cs="Calibri"/>
              </w:rPr>
              <w:t>.</w:t>
            </w:r>
          </w:p>
          <w:p w14:paraId="2E3880A3" w14:textId="77777777" w:rsidR="008F4895" w:rsidRDefault="008F4895" w:rsidP="08ADAF1C">
            <w:pPr>
              <w:spacing w:line="257" w:lineRule="auto"/>
              <w:rPr>
                <w:rFonts w:ascii="Calibri" w:eastAsia="Calibri" w:hAnsi="Calibri" w:cs="Calibri"/>
              </w:rPr>
            </w:pPr>
          </w:p>
          <w:p w14:paraId="33BDEA52" w14:textId="26CCDAAC" w:rsidR="008639F1" w:rsidRDefault="00181BCB" w:rsidP="00AF44AB">
            <w:pPr>
              <w:spacing w:line="257" w:lineRule="auto"/>
            </w:pPr>
            <w:r w:rsidRPr="08ADAF1C">
              <w:rPr>
                <w:rFonts w:ascii="Calibri" w:eastAsia="Calibri" w:hAnsi="Calibri" w:cs="Calibri"/>
              </w:rPr>
              <w:t>MSD</w:t>
            </w:r>
            <w:r>
              <w:rPr>
                <w:rFonts w:ascii="Calibri" w:eastAsia="Calibri" w:hAnsi="Calibri" w:cs="Calibri"/>
              </w:rPr>
              <w:t xml:space="preserve"> ber om at </w:t>
            </w:r>
            <w:r w:rsidR="3FD4BC5B" w:rsidRPr="08ADAF1C">
              <w:rPr>
                <w:rFonts w:ascii="Calibri" w:eastAsia="Calibri" w:hAnsi="Calibri" w:cs="Calibri"/>
              </w:rPr>
              <w:t xml:space="preserve">det </w:t>
            </w:r>
            <w:r>
              <w:rPr>
                <w:rFonts w:ascii="Calibri" w:eastAsia="Calibri" w:hAnsi="Calibri" w:cs="Calibri"/>
              </w:rPr>
              <w:t xml:space="preserve">bestilles </w:t>
            </w:r>
            <w:r w:rsidR="1F390786" w:rsidRPr="08ADAF1C">
              <w:rPr>
                <w:rFonts w:ascii="Calibri" w:eastAsia="Calibri" w:hAnsi="Calibri" w:cs="Calibri"/>
              </w:rPr>
              <w:t>e</w:t>
            </w:r>
            <w:r w:rsidR="7B466A2B" w:rsidRPr="08ADAF1C">
              <w:rPr>
                <w:rFonts w:ascii="Calibri" w:eastAsia="Calibri" w:hAnsi="Calibri" w:cs="Calibri"/>
              </w:rPr>
              <w:t>n</w:t>
            </w:r>
            <w:r w:rsidR="3FD4BC5B" w:rsidRPr="08ADAF1C">
              <w:rPr>
                <w:rFonts w:ascii="Calibri" w:eastAsia="Calibri" w:hAnsi="Calibri" w:cs="Calibri"/>
              </w:rPr>
              <w:t xml:space="preserve"> evaluering i spor B</w:t>
            </w:r>
            <w:r w:rsidR="008F4895">
              <w:rPr>
                <w:rFonts w:ascii="Calibri" w:eastAsia="Calibri" w:hAnsi="Calibri" w:cs="Calibri"/>
              </w:rPr>
              <w:t xml:space="preserve"> </w:t>
            </w:r>
            <w:r>
              <w:rPr>
                <w:rFonts w:ascii="Calibri" w:eastAsia="Calibri" w:hAnsi="Calibri" w:cs="Calibri"/>
              </w:rPr>
              <w:t>for å sikre en</w:t>
            </w:r>
            <w:r w:rsidR="008F4895">
              <w:rPr>
                <w:rFonts w:ascii="Calibri" w:eastAsia="Calibri" w:hAnsi="Calibri" w:cs="Calibri"/>
              </w:rPr>
              <w:t xml:space="preserve"> god faglig dokumentasjon for en ny beslutning.</w:t>
            </w:r>
          </w:p>
        </w:tc>
      </w:tr>
    </w:tbl>
    <w:p w14:paraId="44BA2640" w14:textId="77777777" w:rsidR="00D53539" w:rsidRDefault="00D1082E" w:rsidP="003E11D8">
      <w:pPr>
        <w:rPr>
          <w:b/>
        </w:rPr>
      </w:pPr>
      <w:r>
        <w:rPr>
          <w:b/>
        </w:rPr>
        <w:lastRenderedPageBreak/>
        <w:br/>
      </w:r>
    </w:p>
    <w:p w14:paraId="37F83A09" w14:textId="23799B8B" w:rsidR="00C354DD" w:rsidRDefault="00C354DD" w:rsidP="003E11D8">
      <w:pPr>
        <w:rPr>
          <w:b/>
        </w:rPr>
      </w:pPr>
      <w:r w:rsidRPr="00C354DD">
        <w:rPr>
          <w:b/>
        </w:rPr>
        <w:t>Nærmere informasjon om metoden</w:t>
      </w:r>
      <w:r w:rsidR="002879D8">
        <w:rPr>
          <w:b/>
        </w:rPr>
        <w:t xml:space="preserve"> og innspill til PICO</w:t>
      </w:r>
      <w:r w:rsidR="00702941">
        <w:rPr>
          <w:b/>
        </w:rPr>
        <w:t>*</w:t>
      </w:r>
    </w:p>
    <w:p w14:paraId="0B50EE81" w14:textId="4B71869E" w:rsidR="00B86B26" w:rsidRPr="00B86B26" w:rsidRDefault="00B86B26" w:rsidP="003E11D8">
      <w:pPr>
        <w:rPr>
          <w:sz w:val="16"/>
          <w:szCs w:val="16"/>
        </w:rPr>
      </w:pPr>
      <w:r w:rsidRPr="00D1082E">
        <w:rPr>
          <w:sz w:val="16"/>
          <w:szCs w:val="16"/>
        </w:rPr>
        <w:t>*PICO er et verktøy for å formulere presise problemstillinger i metodevurderingsarbeid. PICO er en forkortelse for Population/Problem – Intervention – Comparison – Outcome. PICO brukes til å presisere hvilken populasjon/problem som skal studeres, hvilke(t) tiltak (metode/behandling) som skal vurderes, hvilket tiltak</w:t>
      </w:r>
      <w:r w:rsidRPr="00D1082E">
        <w:rPr>
          <w:strike/>
          <w:sz w:val="16"/>
          <w:szCs w:val="16"/>
        </w:rPr>
        <w:t xml:space="preserve"> </w:t>
      </w:r>
      <w:r w:rsidRPr="00D1082E">
        <w:rPr>
          <w:sz w:val="16"/>
          <w:szCs w:val="16"/>
        </w:rPr>
        <w:t xml:space="preserve">det er naturlig å sammenligne med, og hvilke utfall/endepunkter det </w:t>
      </w:r>
      <w:r w:rsidRPr="00D1082E">
        <w:rPr>
          <w:strike/>
          <w:sz w:val="16"/>
          <w:szCs w:val="16"/>
        </w:rPr>
        <w:t>å</w:t>
      </w:r>
      <w:r w:rsidRPr="00D1082E">
        <w:rPr>
          <w:sz w:val="16"/>
          <w:szCs w:val="16"/>
        </w:rPr>
        <w:t xml:space="preserve"> er relevant å måle/vurdere. PICO er viktig for planlegging og gjennomføring av en metodevurdering.</w:t>
      </w:r>
    </w:p>
    <w:tbl>
      <w:tblPr>
        <w:tblStyle w:val="TableGrid"/>
        <w:tblW w:w="0" w:type="auto"/>
        <w:tblLook w:val="04A0" w:firstRow="1" w:lastRow="0" w:firstColumn="1" w:lastColumn="0" w:noHBand="0" w:noVBand="1"/>
      </w:tblPr>
      <w:tblGrid>
        <w:gridCol w:w="8784"/>
      </w:tblGrid>
      <w:tr w:rsidR="003E11D8" w14:paraId="04D0DCDE" w14:textId="77777777" w:rsidTr="002B3123">
        <w:tc>
          <w:tcPr>
            <w:tcW w:w="8784" w:type="dxa"/>
          </w:tcPr>
          <w:p w14:paraId="48D74076" w14:textId="2223CAC0" w:rsidR="003E11D8" w:rsidRDefault="00702941" w:rsidP="00D1082E">
            <w:pPr>
              <w:pStyle w:val="Heading3"/>
              <w:spacing w:after="240"/>
              <w:jc w:val="both"/>
              <w:outlineLvl w:val="2"/>
            </w:pPr>
            <w:r w:rsidRPr="0091218A">
              <w:rPr>
                <w:color w:val="auto"/>
              </w:rPr>
              <w:t>4</w:t>
            </w:r>
            <w:r w:rsidR="00CE205A" w:rsidRPr="0091218A">
              <w:rPr>
                <w:color w:val="auto"/>
              </w:rPr>
              <w:t>. Kjenner du til</w:t>
            </w:r>
            <w:r w:rsidR="003E11D8" w:rsidRPr="0091218A">
              <w:rPr>
                <w:color w:val="auto"/>
              </w:rPr>
              <w:t xml:space="preserve"> </w:t>
            </w:r>
            <w:r w:rsidR="004C5BF6" w:rsidRPr="0091218A">
              <w:rPr>
                <w:color w:val="auto"/>
              </w:rPr>
              <w:t xml:space="preserve">om </w:t>
            </w:r>
            <w:r w:rsidR="003E11D8" w:rsidRPr="0091218A">
              <w:rPr>
                <w:color w:val="auto"/>
              </w:rPr>
              <w:t>metoden</w:t>
            </w:r>
            <w:r w:rsidR="00CE205A" w:rsidRPr="0091218A">
              <w:rPr>
                <w:color w:val="auto"/>
              </w:rPr>
              <w:t xml:space="preserve"> er i bruk</w:t>
            </w:r>
            <w:r w:rsidR="003E11D8" w:rsidRPr="0091218A">
              <w:rPr>
                <w:color w:val="auto"/>
              </w:rPr>
              <w:t xml:space="preserve"> i Norge i dag?</w:t>
            </w:r>
            <w:r w:rsidR="003E11D8" w:rsidRPr="001143A3">
              <w:t xml:space="preserve"> </w:t>
            </w:r>
          </w:p>
        </w:tc>
      </w:tr>
      <w:tr w:rsidR="003E11D8" w14:paraId="6FAB4BB9" w14:textId="77777777" w:rsidTr="002B3123">
        <w:trPr>
          <w:trHeight w:val="859"/>
        </w:trPr>
        <w:tc>
          <w:tcPr>
            <w:tcW w:w="8784" w:type="dxa"/>
          </w:tcPr>
          <w:p w14:paraId="5BB5D6A3" w14:textId="1022AE84" w:rsidR="003E11D8" w:rsidRDefault="005079D3" w:rsidP="0086697D">
            <w:r>
              <w:t>Er</w:t>
            </w:r>
            <w:r w:rsidR="003E11D8">
              <w:t xml:space="preserve"> </w:t>
            </w:r>
            <w:r>
              <w:t xml:space="preserve">metoden </w:t>
            </w:r>
            <w:r w:rsidR="003E11D8">
              <w:t>i bruk</w:t>
            </w:r>
            <w:r>
              <w:t xml:space="preserve"> </w:t>
            </w:r>
            <w:r w:rsidR="004C5BF6">
              <w:t xml:space="preserve">utenom kliniske studier </w:t>
            </w:r>
            <w:r>
              <w:t>i dag</w:t>
            </w:r>
            <w:r w:rsidR="003E11D8">
              <w:t>:</w:t>
            </w:r>
            <w:r w:rsidR="00C44183">
              <w:t xml:space="preserve"> </w:t>
            </w:r>
          </w:p>
          <w:p w14:paraId="69F80893" w14:textId="3982BFA8" w:rsidR="003E11D8" w:rsidRDefault="005079D3" w:rsidP="0086697D">
            <w:r>
              <w:t>Fra hvilket tidspunkt har den</w:t>
            </w:r>
            <w:r w:rsidR="003E11D8">
              <w:t xml:space="preserve"> vært i bruk:</w:t>
            </w:r>
            <w:r w:rsidR="00C44183">
              <w:t xml:space="preserve">   </w:t>
            </w:r>
            <w:r w:rsidR="00181BCB">
              <w:t xml:space="preserve">Beslutningsforum har </w:t>
            </w:r>
            <w:r w:rsidR="00AE48BC">
              <w:t>godkjent to indikasjoner for avelumab, i desember 2020 (ID2019_010) samt i august 2021(ID2020_083)</w:t>
            </w:r>
          </w:p>
          <w:p w14:paraId="6B6DD5AD" w14:textId="5B2E05ED" w:rsidR="003E11D8" w:rsidRDefault="00C81243" w:rsidP="0086697D">
            <w:r>
              <w:t>Hvor er eventuelt metoden</w:t>
            </w:r>
            <w:r w:rsidR="005079D3">
              <w:t xml:space="preserve"> i bruk:</w:t>
            </w:r>
          </w:p>
        </w:tc>
      </w:tr>
    </w:tbl>
    <w:p w14:paraId="2CEEA5E5" w14:textId="77777777" w:rsidR="00D53539" w:rsidRPr="00D53539" w:rsidRDefault="00D53539" w:rsidP="003E11D8">
      <w:pPr>
        <w:rPr>
          <w:sz w:val="16"/>
          <w:szCs w:val="16"/>
        </w:rPr>
      </w:pPr>
    </w:p>
    <w:tbl>
      <w:tblPr>
        <w:tblStyle w:val="TableGrid"/>
        <w:tblW w:w="0" w:type="auto"/>
        <w:tblLook w:val="04A0" w:firstRow="1" w:lastRow="0" w:firstColumn="1" w:lastColumn="0" w:noHBand="0" w:noVBand="1"/>
      </w:tblPr>
      <w:tblGrid>
        <w:gridCol w:w="8613"/>
      </w:tblGrid>
      <w:tr w:rsidR="00643E8D" w14:paraId="63929A32" w14:textId="77777777" w:rsidTr="00643E8D">
        <w:tc>
          <w:tcPr>
            <w:tcW w:w="8613" w:type="dxa"/>
          </w:tcPr>
          <w:p w14:paraId="08E5664F" w14:textId="172517FB" w:rsidR="00643E8D" w:rsidRDefault="00702941" w:rsidP="0091218A">
            <w:pPr>
              <w:pStyle w:val="Heading3"/>
              <w:spacing w:after="240"/>
              <w:jc w:val="both"/>
              <w:outlineLvl w:val="2"/>
            </w:pPr>
            <w:r>
              <w:rPr>
                <w:color w:val="auto"/>
              </w:rPr>
              <w:t>5</w:t>
            </w:r>
            <w:r w:rsidR="00643E8D" w:rsidRPr="001143A3">
              <w:rPr>
                <w:color w:val="auto"/>
              </w:rPr>
              <w:t xml:space="preserve">. </w:t>
            </w:r>
            <w:r>
              <w:rPr>
                <w:color w:val="auto"/>
              </w:rPr>
              <w:t>Hvilken pasientgruppe</w:t>
            </w:r>
            <w:r w:rsidR="00643E8D">
              <w:rPr>
                <w:color w:val="auto"/>
              </w:rPr>
              <w:t xml:space="preserve"> i den </w:t>
            </w:r>
            <w:r w:rsidR="00643E8D" w:rsidRPr="001143A3">
              <w:rPr>
                <w:color w:val="auto"/>
              </w:rPr>
              <w:t>norske spesialisthelsetjenesten</w:t>
            </w:r>
            <w:r w:rsidR="00643E8D">
              <w:rPr>
                <w:color w:val="auto"/>
              </w:rPr>
              <w:t xml:space="preserve"> er metoden aktuell for</w:t>
            </w:r>
            <w:r w:rsidR="00643E8D" w:rsidRPr="001143A3">
              <w:rPr>
                <w:color w:val="auto"/>
              </w:rPr>
              <w:t>?</w:t>
            </w:r>
            <w:r w:rsidR="00643E8D">
              <w:rPr>
                <w:color w:val="auto"/>
              </w:rPr>
              <w:t xml:space="preserve"> (</w:t>
            </w:r>
            <w:r w:rsidR="00643E8D" w:rsidRPr="00885EFB">
              <w:rPr>
                <w:color w:val="auto"/>
                <w:u w:val="single"/>
              </w:rPr>
              <w:t>P</w:t>
            </w:r>
            <w:r w:rsidR="00643E8D">
              <w:rPr>
                <w:color w:val="auto"/>
              </w:rPr>
              <w:t>ICO)</w:t>
            </w:r>
          </w:p>
        </w:tc>
      </w:tr>
      <w:tr w:rsidR="00643E8D" w14:paraId="3110D1F4" w14:textId="77777777" w:rsidTr="00643E8D">
        <w:trPr>
          <w:trHeight w:val="501"/>
        </w:trPr>
        <w:tc>
          <w:tcPr>
            <w:tcW w:w="8613" w:type="dxa"/>
          </w:tcPr>
          <w:p w14:paraId="0A326488" w14:textId="7BDD83F3" w:rsidR="00643E8D" w:rsidRDefault="00E10066" w:rsidP="00276A38">
            <w:r>
              <w:t>B</w:t>
            </w:r>
            <w:r w:rsidR="00643E8D">
              <w:t>eskriv kortfattet:</w:t>
            </w:r>
            <w:r w:rsidR="00C44183">
              <w:t>-</w:t>
            </w:r>
          </w:p>
          <w:p w14:paraId="4A476C41" w14:textId="77777777" w:rsidR="00643E8D" w:rsidRDefault="00643E8D" w:rsidP="00276A38"/>
        </w:tc>
      </w:tr>
    </w:tbl>
    <w:p w14:paraId="4438F0FD" w14:textId="77777777" w:rsidR="00702941" w:rsidRDefault="00702941"/>
    <w:tbl>
      <w:tblPr>
        <w:tblStyle w:val="TableGrid"/>
        <w:tblW w:w="0" w:type="auto"/>
        <w:tblLook w:val="04A0" w:firstRow="1" w:lastRow="0" w:firstColumn="1" w:lastColumn="0" w:noHBand="0" w:noVBand="1"/>
      </w:tblPr>
      <w:tblGrid>
        <w:gridCol w:w="8613"/>
      </w:tblGrid>
      <w:tr w:rsidR="003E11D8" w14:paraId="63FC1370" w14:textId="77777777" w:rsidTr="0086697D">
        <w:tc>
          <w:tcPr>
            <w:tcW w:w="8613" w:type="dxa"/>
          </w:tcPr>
          <w:p w14:paraId="1E209B8C" w14:textId="0DC26343" w:rsidR="003E11D8" w:rsidRDefault="00702941" w:rsidP="0091218A">
            <w:pPr>
              <w:pStyle w:val="Heading3"/>
              <w:spacing w:after="240"/>
              <w:jc w:val="both"/>
              <w:outlineLvl w:val="2"/>
            </w:pPr>
            <w:r>
              <w:rPr>
                <w:color w:val="auto"/>
              </w:rPr>
              <w:lastRenderedPageBreak/>
              <w:t>6</w:t>
            </w:r>
            <w:r w:rsidR="00643E8D">
              <w:rPr>
                <w:color w:val="auto"/>
              </w:rPr>
              <w:t>.</w:t>
            </w:r>
            <w:r>
              <w:rPr>
                <w:color w:val="auto"/>
              </w:rPr>
              <w:t xml:space="preserve"> Er du </w:t>
            </w:r>
            <w:r w:rsidR="003E11D8" w:rsidRPr="001143A3">
              <w:rPr>
                <w:color w:val="auto"/>
              </w:rPr>
              <w:t>kjent med behandlingsalternativer til</w:t>
            </w:r>
            <w:r w:rsidR="009C40CB">
              <w:rPr>
                <w:color w:val="auto"/>
              </w:rPr>
              <w:t xml:space="preserve"> denne</w:t>
            </w:r>
            <w:r w:rsidR="003E11D8" w:rsidRPr="001143A3">
              <w:rPr>
                <w:color w:val="auto"/>
              </w:rPr>
              <w:t xml:space="preserve"> metoden </w:t>
            </w:r>
            <w:r w:rsidR="00C354DD">
              <w:rPr>
                <w:color w:val="auto"/>
              </w:rPr>
              <w:t>og hvordan disse fungerer</w:t>
            </w:r>
            <w:r w:rsidR="009C40CB">
              <w:rPr>
                <w:color w:val="auto"/>
              </w:rPr>
              <w:t xml:space="preserve"> for pasientgruppen</w:t>
            </w:r>
            <w:r>
              <w:rPr>
                <w:color w:val="auto"/>
              </w:rPr>
              <w:t xml:space="preserve"> i dag</w:t>
            </w:r>
            <w:r w:rsidR="009C40CB">
              <w:rPr>
                <w:color w:val="auto"/>
              </w:rPr>
              <w:t>?</w:t>
            </w:r>
            <w:r w:rsidR="0025054C">
              <w:rPr>
                <w:color w:val="auto"/>
              </w:rPr>
              <w:t xml:space="preserve"> (</w:t>
            </w:r>
            <w:r w:rsidR="0025054C" w:rsidRPr="002879D8">
              <w:rPr>
                <w:color w:val="auto"/>
              </w:rPr>
              <w:t>PI</w:t>
            </w:r>
            <w:r w:rsidR="0025054C" w:rsidRPr="008B4F91">
              <w:rPr>
                <w:color w:val="auto"/>
                <w:u w:val="single"/>
              </w:rPr>
              <w:t>C</w:t>
            </w:r>
            <w:r w:rsidR="0025054C" w:rsidRPr="002879D8">
              <w:rPr>
                <w:color w:val="auto"/>
              </w:rPr>
              <w:t>O</w:t>
            </w:r>
            <w:r w:rsidR="0025054C">
              <w:rPr>
                <w:color w:val="auto"/>
              </w:rPr>
              <w:t>)</w:t>
            </w:r>
          </w:p>
        </w:tc>
      </w:tr>
      <w:tr w:rsidR="003E11D8" w14:paraId="2D13E9C4" w14:textId="77777777" w:rsidTr="00643E8D">
        <w:trPr>
          <w:trHeight w:val="406"/>
        </w:trPr>
        <w:tc>
          <w:tcPr>
            <w:tcW w:w="8613" w:type="dxa"/>
          </w:tcPr>
          <w:p w14:paraId="1A618B24" w14:textId="61126D71" w:rsidR="009C40CB" w:rsidRDefault="00E10066" w:rsidP="00C61ECA">
            <w:r>
              <w:t>B</w:t>
            </w:r>
            <w:r w:rsidR="003E11D8">
              <w:t>eskriv kortfattet:</w:t>
            </w:r>
          </w:p>
          <w:p w14:paraId="4AD6CA18" w14:textId="2A1FA09E" w:rsidR="0091218A" w:rsidRDefault="0091218A" w:rsidP="00C61ECA"/>
        </w:tc>
      </w:tr>
    </w:tbl>
    <w:p w14:paraId="70F4CB22" w14:textId="0A7470A3" w:rsidR="00C354DD" w:rsidRDefault="00C354DD"/>
    <w:tbl>
      <w:tblPr>
        <w:tblStyle w:val="TableGrid"/>
        <w:tblW w:w="0" w:type="auto"/>
        <w:tblLook w:val="04A0" w:firstRow="1" w:lastRow="0" w:firstColumn="1" w:lastColumn="0" w:noHBand="0" w:noVBand="1"/>
      </w:tblPr>
      <w:tblGrid>
        <w:gridCol w:w="8613"/>
      </w:tblGrid>
      <w:tr w:rsidR="0025054C" w14:paraId="12B87190" w14:textId="77777777" w:rsidTr="0025054C">
        <w:tc>
          <w:tcPr>
            <w:tcW w:w="8613" w:type="dxa"/>
          </w:tcPr>
          <w:p w14:paraId="3508191E" w14:textId="4ED6C988" w:rsidR="008B4F91" w:rsidRPr="002B3123" w:rsidRDefault="00B17578" w:rsidP="002B3123">
            <w:pPr>
              <w:pStyle w:val="Heading3"/>
              <w:spacing w:after="240"/>
              <w:outlineLvl w:val="2"/>
              <w:rPr>
                <w:color w:val="auto"/>
              </w:rPr>
            </w:pPr>
            <w:r>
              <w:rPr>
                <w:color w:val="auto"/>
              </w:rPr>
              <w:t>7</w:t>
            </w:r>
            <w:r w:rsidR="0025054C" w:rsidRPr="001143A3">
              <w:rPr>
                <w:color w:val="auto"/>
              </w:rPr>
              <w:t xml:space="preserve">. </w:t>
            </w:r>
            <w:r w:rsidR="0025054C">
              <w:rPr>
                <w:color w:val="auto"/>
              </w:rPr>
              <w:t>Har du innspill til hva som vil være viktig for</w:t>
            </w:r>
            <w:r w:rsidR="00643E8D">
              <w:rPr>
                <w:color w:val="auto"/>
              </w:rPr>
              <w:t xml:space="preserve"> pasienter som er aktuelle for behandling med metoden?</w:t>
            </w:r>
            <w:r w:rsidR="0025054C">
              <w:rPr>
                <w:color w:val="auto"/>
              </w:rPr>
              <w:t xml:space="preserve"> (</w:t>
            </w:r>
            <w:r w:rsidR="0025054C" w:rsidRPr="008B4F91">
              <w:rPr>
                <w:color w:val="auto"/>
              </w:rPr>
              <w:t>PIC</w:t>
            </w:r>
            <w:r w:rsidR="0025054C" w:rsidRPr="008B4F91">
              <w:rPr>
                <w:color w:val="auto"/>
                <w:u w:val="single"/>
              </w:rPr>
              <w:t>O</w:t>
            </w:r>
            <w:r w:rsidR="0025054C" w:rsidRPr="008B4F91">
              <w:rPr>
                <w:color w:val="auto"/>
              </w:rPr>
              <w:t>)</w:t>
            </w:r>
          </w:p>
        </w:tc>
      </w:tr>
      <w:tr w:rsidR="0025054C" w14:paraId="2285AD35" w14:textId="77777777" w:rsidTr="0025054C">
        <w:trPr>
          <w:trHeight w:val="501"/>
        </w:trPr>
        <w:tc>
          <w:tcPr>
            <w:tcW w:w="8613" w:type="dxa"/>
          </w:tcPr>
          <w:p w14:paraId="348D381B" w14:textId="77777777" w:rsidR="008B4F91" w:rsidRDefault="002B3123" w:rsidP="00643E8D">
            <w:r>
              <w:t xml:space="preserve">Hva kan oppfattes som en fordel for pasienter og brukere med denne metoden sammenlignet med aktuelle alternativer? Hvilke endepunkter/resultater av behandlingen er det aktuelt å måle? </w:t>
            </w:r>
            <w:r w:rsidR="008B4F91">
              <w:t>Beskriv kortfattet:</w:t>
            </w:r>
          </w:p>
          <w:p w14:paraId="3D37D8D1" w14:textId="59EEADC5" w:rsidR="002B3123" w:rsidRDefault="002B3123" w:rsidP="00643E8D"/>
        </w:tc>
      </w:tr>
    </w:tbl>
    <w:p w14:paraId="5C17607C" w14:textId="77777777" w:rsidR="00643E8D" w:rsidRDefault="00643E8D"/>
    <w:tbl>
      <w:tblPr>
        <w:tblStyle w:val="TableGrid"/>
        <w:tblW w:w="0" w:type="auto"/>
        <w:tblLook w:val="04A0" w:firstRow="1" w:lastRow="0" w:firstColumn="1" w:lastColumn="0" w:noHBand="0" w:noVBand="1"/>
      </w:tblPr>
      <w:tblGrid>
        <w:gridCol w:w="8613"/>
      </w:tblGrid>
      <w:tr w:rsidR="00C354DD" w:rsidRPr="007835B6" w14:paraId="7C3AF83A" w14:textId="77777777" w:rsidTr="00C354DD">
        <w:trPr>
          <w:trHeight w:val="314"/>
        </w:trPr>
        <w:tc>
          <w:tcPr>
            <w:tcW w:w="8613" w:type="dxa"/>
          </w:tcPr>
          <w:p w14:paraId="7A21C2CC" w14:textId="079794EA" w:rsidR="002B3123" w:rsidRPr="002B3123" w:rsidRDefault="00B17578" w:rsidP="002B3123">
            <w:pPr>
              <w:pStyle w:val="Heading3"/>
              <w:spacing w:after="240"/>
              <w:outlineLvl w:val="2"/>
              <w:rPr>
                <w:color w:val="auto"/>
              </w:rPr>
            </w:pPr>
            <w:r w:rsidRPr="0091218A">
              <w:rPr>
                <w:color w:val="auto"/>
              </w:rPr>
              <w:t>8</w:t>
            </w:r>
            <w:r w:rsidR="00C354DD" w:rsidRPr="0091218A">
              <w:rPr>
                <w:color w:val="auto"/>
              </w:rPr>
              <w:t>. Spesielt for medisinsk utstyr (besvares av leverandør)</w:t>
            </w:r>
            <w:r w:rsidR="002B3123">
              <w:rPr>
                <w:color w:val="auto"/>
              </w:rPr>
              <w:t>: CE-merking</w:t>
            </w:r>
          </w:p>
        </w:tc>
      </w:tr>
      <w:tr w:rsidR="00C354DD" w:rsidRPr="00671092" w14:paraId="4F198752" w14:textId="77777777" w:rsidTr="0091218A">
        <w:trPr>
          <w:trHeight w:val="324"/>
        </w:trPr>
        <w:tc>
          <w:tcPr>
            <w:tcW w:w="8613" w:type="dxa"/>
          </w:tcPr>
          <w:p w14:paraId="6C0403B4" w14:textId="5DE097A7" w:rsidR="002B3123" w:rsidRPr="00671092" w:rsidRDefault="002B3123" w:rsidP="002B3123">
            <w:pPr>
              <w:rPr>
                <w:i/>
              </w:rPr>
            </w:pPr>
            <w:r>
              <w:t>Foreligger det CE-merking for bruksområdet som beskrives i metoden? I så fall angi type og tidspunkt:</w:t>
            </w:r>
            <w:r w:rsidR="00C44183">
              <w:t xml:space="preserve">  NA</w:t>
            </w:r>
          </w:p>
          <w:p w14:paraId="0C8B17B7" w14:textId="73835D55" w:rsidR="00821413" w:rsidRPr="00671092" w:rsidRDefault="00821413" w:rsidP="00350F86"/>
        </w:tc>
      </w:tr>
    </w:tbl>
    <w:p w14:paraId="21692557" w14:textId="77777777" w:rsidR="003E11D8" w:rsidRDefault="003E11D8" w:rsidP="003E11D8"/>
    <w:tbl>
      <w:tblPr>
        <w:tblStyle w:val="TableGrid"/>
        <w:tblW w:w="0" w:type="auto"/>
        <w:tblLook w:val="04A0" w:firstRow="1" w:lastRow="0" w:firstColumn="1" w:lastColumn="0" w:noHBand="0" w:noVBand="1"/>
      </w:tblPr>
      <w:tblGrid>
        <w:gridCol w:w="8613"/>
      </w:tblGrid>
      <w:tr w:rsidR="005079D3" w14:paraId="3DDABBD8" w14:textId="77777777" w:rsidTr="005079D3">
        <w:tc>
          <w:tcPr>
            <w:tcW w:w="8613" w:type="dxa"/>
          </w:tcPr>
          <w:p w14:paraId="59CA3832" w14:textId="2BDC2C0B" w:rsidR="002B3123" w:rsidRPr="002B3123" w:rsidRDefault="00B17578" w:rsidP="002B3123">
            <w:pPr>
              <w:pStyle w:val="Heading3"/>
              <w:spacing w:after="240"/>
              <w:outlineLvl w:val="2"/>
              <w:rPr>
                <w:color w:val="auto"/>
              </w:rPr>
            </w:pPr>
            <w:r>
              <w:rPr>
                <w:color w:val="auto"/>
              </w:rPr>
              <w:t>9</w:t>
            </w:r>
            <w:r w:rsidR="005079D3">
              <w:rPr>
                <w:color w:val="auto"/>
              </w:rPr>
              <w:t xml:space="preserve">. Spesielt for legemidler </w:t>
            </w:r>
            <w:r w:rsidR="00C354DD">
              <w:rPr>
                <w:color w:val="auto"/>
              </w:rPr>
              <w:t>(besvares av leverandør)</w:t>
            </w:r>
            <w:r w:rsidR="002B3123">
              <w:rPr>
                <w:color w:val="auto"/>
              </w:rPr>
              <w:t>: Markedsføringstillatelse (MT)</w:t>
            </w:r>
          </w:p>
        </w:tc>
      </w:tr>
      <w:tr w:rsidR="005079D3" w14:paraId="4C9352D1" w14:textId="77777777" w:rsidTr="00643E8D">
        <w:trPr>
          <w:trHeight w:val="725"/>
        </w:trPr>
        <w:tc>
          <w:tcPr>
            <w:tcW w:w="8613" w:type="dxa"/>
          </w:tcPr>
          <w:p w14:paraId="0B65139B" w14:textId="175D4949" w:rsidR="005079D3" w:rsidRDefault="002B3123" w:rsidP="00350F86">
            <w:r>
              <w:t>Har legemiddelet MT for indikasjonen som omfattes av metoden? Angi i så fall tidspunkt</w:t>
            </w:r>
            <w:r w:rsidR="00EF2741">
              <w:t xml:space="preserve"> eller ventet </w:t>
            </w:r>
            <w:r w:rsidR="00D1082E">
              <w:t>tidspunkt for MT</w:t>
            </w:r>
            <w:r>
              <w:t>:</w:t>
            </w:r>
          </w:p>
          <w:p w14:paraId="0ADFF3A9" w14:textId="77777777" w:rsidR="009C40CB" w:rsidRDefault="009C40CB" w:rsidP="00350F86"/>
        </w:tc>
      </w:tr>
    </w:tbl>
    <w:p w14:paraId="4ADCED26" w14:textId="77777777" w:rsidR="00C354DD" w:rsidRDefault="00C354DD"/>
    <w:tbl>
      <w:tblPr>
        <w:tblStyle w:val="TableGrid"/>
        <w:tblW w:w="0" w:type="auto"/>
        <w:tblLook w:val="04A0" w:firstRow="1" w:lastRow="0" w:firstColumn="1" w:lastColumn="0" w:noHBand="0" w:noVBand="1"/>
      </w:tblPr>
      <w:tblGrid>
        <w:gridCol w:w="8613"/>
      </w:tblGrid>
      <w:tr w:rsidR="003E11D8" w14:paraId="665DA656" w14:textId="77777777" w:rsidTr="0086697D">
        <w:tc>
          <w:tcPr>
            <w:tcW w:w="8613" w:type="dxa"/>
          </w:tcPr>
          <w:p w14:paraId="1882A0C0" w14:textId="489CB5D9" w:rsidR="003E11D8" w:rsidRDefault="00B17578" w:rsidP="00821413">
            <w:pPr>
              <w:pStyle w:val="Heading3"/>
              <w:spacing w:after="240"/>
              <w:outlineLvl w:val="2"/>
            </w:pPr>
            <w:r>
              <w:rPr>
                <w:color w:val="auto"/>
              </w:rPr>
              <w:t>10</w:t>
            </w:r>
            <w:r w:rsidR="008B4F91">
              <w:rPr>
                <w:color w:val="auto"/>
              </w:rPr>
              <w:t>. Andre kommentarer</w:t>
            </w:r>
          </w:p>
        </w:tc>
      </w:tr>
      <w:tr w:rsidR="003E11D8" w:rsidRPr="005E5846" w14:paraId="25DA1048" w14:textId="77777777" w:rsidTr="0091218A">
        <w:trPr>
          <w:trHeight w:val="601"/>
        </w:trPr>
        <w:tc>
          <w:tcPr>
            <w:tcW w:w="8613" w:type="dxa"/>
          </w:tcPr>
          <w:p w14:paraId="3411E89C" w14:textId="16085FF6" w:rsidR="008120A9" w:rsidRDefault="008120A9" w:rsidP="008120A9">
            <w:pPr>
              <w:spacing w:line="257" w:lineRule="auto"/>
              <w:rPr>
                <w:rFonts w:ascii="Calibri" w:hAnsi="Calibri" w:cs="Calibri"/>
                <w:color w:val="222222"/>
              </w:rPr>
            </w:pPr>
            <w:r w:rsidRPr="08ADAF1C">
              <w:rPr>
                <w:rFonts w:ascii="Calibri" w:hAnsi="Calibri" w:cs="Calibri"/>
                <w:color w:val="222222"/>
              </w:rPr>
              <w:t>Oppsummert foreslå</w:t>
            </w:r>
            <w:r w:rsidR="00181BCB">
              <w:rPr>
                <w:rFonts w:ascii="Calibri" w:hAnsi="Calibri" w:cs="Calibri"/>
                <w:color w:val="222222"/>
              </w:rPr>
              <w:t>r</w:t>
            </w:r>
            <w:r w:rsidRPr="08ADAF1C">
              <w:rPr>
                <w:rFonts w:ascii="Calibri" w:hAnsi="Calibri" w:cs="Calibri"/>
                <w:color w:val="222222"/>
              </w:rPr>
              <w:t xml:space="preserve"> MSD</w:t>
            </w:r>
            <w:r>
              <w:t xml:space="preserve"> spor B, ikke A som </w:t>
            </w:r>
            <w:r w:rsidRPr="08ADAF1C">
              <w:rPr>
                <w:rFonts w:ascii="Calibri" w:eastAsia="Calibri" w:hAnsi="Calibri" w:cs="Calibri"/>
              </w:rPr>
              <w:t xml:space="preserve">metodeforslaget </w:t>
            </w:r>
            <w:r>
              <w:t>ID2022_003</w:t>
            </w:r>
            <w:r w:rsidRPr="08ADAF1C">
              <w:rPr>
                <w:rFonts w:ascii="Calibri" w:eastAsia="Calibri" w:hAnsi="Calibri" w:cs="Calibri"/>
              </w:rPr>
              <w:t xml:space="preserve"> (Merk og Pfizer)</w:t>
            </w:r>
            <w:r>
              <w:t xml:space="preserve">, </w:t>
            </w:r>
            <w:r w:rsidR="00181BCB">
              <w:t>dersom det bestilles en</w:t>
            </w:r>
            <w:r>
              <w:t xml:space="preserve"> </w:t>
            </w:r>
            <w:r w:rsidR="00AE48BC">
              <w:t xml:space="preserve">forenklet </w:t>
            </w:r>
            <w:r>
              <w:t xml:space="preserve">reevalueringen av </w:t>
            </w:r>
            <w:r w:rsidRPr="08ADAF1C">
              <w:rPr>
                <w:rFonts w:ascii="Calibri" w:eastAsia="Calibri" w:hAnsi="Calibri" w:cs="Calibri"/>
              </w:rPr>
              <w:t xml:space="preserve">Metoden </w:t>
            </w:r>
            <w:r>
              <w:t>ID2019_065 avalumab+aksitinib</w:t>
            </w:r>
            <w:r w:rsidRPr="08ADAF1C">
              <w:rPr>
                <w:rFonts w:ascii="Calibri" w:hAnsi="Calibri" w:cs="Calibri"/>
                <w:color w:val="222222"/>
              </w:rPr>
              <w:t>. Grunnlaget for dette er:</w:t>
            </w:r>
          </w:p>
          <w:p w14:paraId="2E156597" w14:textId="77777777" w:rsidR="008120A9" w:rsidRDefault="008120A9" w:rsidP="008120A9">
            <w:pPr>
              <w:spacing w:line="257" w:lineRule="auto"/>
              <w:rPr>
                <w:rFonts w:ascii="Calibri" w:hAnsi="Calibri" w:cs="Calibri"/>
                <w:i/>
                <w:iCs/>
                <w:color w:val="222222"/>
              </w:rPr>
            </w:pPr>
          </w:p>
          <w:p w14:paraId="194861D2" w14:textId="77777777" w:rsidR="00FC5AAC" w:rsidRPr="00B02563" w:rsidRDefault="00FC5AAC" w:rsidP="00FC5AAC">
            <w:pPr>
              <w:pStyle w:val="ListParagraph"/>
              <w:numPr>
                <w:ilvl w:val="0"/>
                <w:numId w:val="18"/>
              </w:numPr>
              <w:rPr>
                <w:rFonts w:eastAsiaTheme="minorEastAsia"/>
              </w:rPr>
            </w:pPr>
            <w:r w:rsidRPr="08ADAF1C">
              <w:rPr>
                <w:rFonts w:ascii="Calibri" w:eastAsia="Calibri" w:hAnsi="Calibri" w:cs="Calibri"/>
              </w:rPr>
              <w:t xml:space="preserve">JAVELIN Renal 101 studien har ikke </w:t>
            </w:r>
            <w:r>
              <w:rPr>
                <w:rFonts w:ascii="Calibri" w:eastAsia="Calibri" w:hAnsi="Calibri" w:cs="Calibri"/>
              </w:rPr>
              <w:t>dokumentert statistisk signifikante overlevelsesdata (OS). Dette er i motsetning til de andre innførte metodene i denne gruppen</w:t>
            </w:r>
          </w:p>
          <w:p w14:paraId="08DD646C" w14:textId="77777777" w:rsidR="00FC5AAC" w:rsidRDefault="00FC5AAC" w:rsidP="00FC5AAC">
            <w:pPr>
              <w:pStyle w:val="ListParagraph"/>
              <w:numPr>
                <w:ilvl w:val="0"/>
                <w:numId w:val="18"/>
              </w:numPr>
              <w:rPr>
                <w:rFonts w:eastAsiaTheme="minorEastAsia"/>
              </w:rPr>
            </w:pPr>
            <w:r>
              <w:rPr>
                <w:rFonts w:ascii="Calibri" w:eastAsia="Calibri" w:hAnsi="Calibri" w:cs="Calibri"/>
              </w:rPr>
              <w:t>Behandling basert på JAVELIN Renal 101 er ikke anbefalt i internasjonale retningslinjer (ESMO, EAU). Dette er i motsetning til de andre innførte metodene i denne gruppen.</w:t>
            </w:r>
          </w:p>
          <w:p w14:paraId="30624061" w14:textId="7B46167A" w:rsidR="00FC5AAC" w:rsidRPr="00E37F39" w:rsidRDefault="00FC5AAC" w:rsidP="00FC5AAC">
            <w:pPr>
              <w:pStyle w:val="ListParagraph"/>
              <w:numPr>
                <w:ilvl w:val="0"/>
                <w:numId w:val="18"/>
              </w:numPr>
              <w:rPr>
                <w:rFonts w:eastAsiaTheme="minorEastAsia"/>
              </w:rPr>
            </w:pPr>
            <w:r w:rsidRPr="08ADAF1C">
              <w:rPr>
                <w:rFonts w:ascii="Calibri" w:eastAsia="Calibri" w:hAnsi="Calibri" w:cs="Calibri"/>
              </w:rPr>
              <w:t xml:space="preserve">JAVELIN Renal 101 er designet </w:t>
            </w:r>
            <w:r>
              <w:rPr>
                <w:rFonts w:ascii="Calibri" w:eastAsia="Calibri" w:hAnsi="Calibri" w:cs="Calibri"/>
              </w:rPr>
              <w:t xml:space="preserve">med primærendepunkter (PFS og OS) </w:t>
            </w:r>
            <w:r w:rsidRPr="08ADAF1C">
              <w:rPr>
                <w:rFonts w:ascii="Calibri" w:eastAsia="Calibri" w:hAnsi="Calibri" w:cs="Calibri"/>
              </w:rPr>
              <w:t xml:space="preserve">for PD-L1 positive pasienter. Det er ikke </w:t>
            </w:r>
            <w:r>
              <w:rPr>
                <w:rFonts w:ascii="Calibri" w:eastAsia="Calibri" w:hAnsi="Calibri" w:cs="Calibri"/>
              </w:rPr>
              <w:t xml:space="preserve">etablert </w:t>
            </w:r>
            <w:r w:rsidRPr="08ADAF1C">
              <w:rPr>
                <w:rFonts w:ascii="Calibri" w:eastAsia="Calibri" w:hAnsi="Calibri" w:cs="Calibri"/>
              </w:rPr>
              <w:t>seleksjon basert på PD-L1 positive pasienter i dagens anbud</w:t>
            </w:r>
            <w:r>
              <w:rPr>
                <w:rFonts w:ascii="Calibri" w:eastAsia="Calibri" w:hAnsi="Calibri" w:cs="Calibri"/>
              </w:rPr>
              <w:t xml:space="preserve">. </w:t>
            </w:r>
          </w:p>
          <w:p w14:paraId="4AD93E6E" w14:textId="77777777" w:rsidR="00E37F39" w:rsidRPr="00C35183" w:rsidRDefault="00E37F39" w:rsidP="00E37F39">
            <w:pPr>
              <w:pStyle w:val="ListParagraph"/>
              <w:rPr>
                <w:rFonts w:eastAsiaTheme="minorEastAsia"/>
              </w:rPr>
            </w:pPr>
          </w:p>
          <w:p w14:paraId="0F5430D2" w14:textId="16B5305A" w:rsidR="00D53539" w:rsidRDefault="00AF44AB" w:rsidP="0086697D">
            <w:r>
              <w:t xml:space="preserve">Utdypende informasjon om disse punktene finnes under. </w:t>
            </w:r>
          </w:p>
          <w:p w14:paraId="400C9947" w14:textId="77777777" w:rsidR="00AF44AB" w:rsidRDefault="00AF44AB" w:rsidP="0086697D"/>
          <w:p w14:paraId="73D48258" w14:textId="77777777" w:rsidR="00AF44AB" w:rsidRPr="00E37F39" w:rsidRDefault="00AF44AB" w:rsidP="00AF44AB">
            <w:pPr>
              <w:pStyle w:val="ListParagraph"/>
              <w:numPr>
                <w:ilvl w:val="0"/>
                <w:numId w:val="19"/>
              </w:numPr>
              <w:spacing w:after="200" w:line="276" w:lineRule="auto"/>
              <w:rPr>
                <w:rFonts w:eastAsiaTheme="minorEastAsia"/>
                <w:b/>
                <w:bCs/>
              </w:rPr>
            </w:pPr>
            <w:r w:rsidRPr="00E37F39">
              <w:rPr>
                <w:rFonts w:ascii="Calibri" w:eastAsia="Calibri" w:hAnsi="Calibri" w:cs="Calibri"/>
                <w:b/>
                <w:bCs/>
              </w:rPr>
              <w:lastRenderedPageBreak/>
              <w:t>JAVELIN Renal 101 studien har ikke dokumentert statistisk signifikante overlevelsesdata (OS). Dette er i motsetning til de andre innførte metodene i denne gruppen</w:t>
            </w:r>
          </w:p>
          <w:p w14:paraId="1DDD106C" w14:textId="77777777" w:rsidR="003B5D37" w:rsidRDefault="003B5D37" w:rsidP="003B5D37">
            <w:pPr>
              <w:rPr>
                <w:color w:val="000000"/>
                <w:shd w:val="clear" w:color="auto" w:fill="FFFFFF"/>
              </w:rPr>
            </w:pPr>
          </w:p>
          <w:p w14:paraId="44CBC0DF" w14:textId="77777777" w:rsidR="003B5D37" w:rsidRDefault="003B5D37" w:rsidP="003B5D37">
            <w:pPr>
              <w:rPr>
                <w:color w:val="000000"/>
                <w:shd w:val="clear" w:color="auto" w:fill="FFFFFF"/>
              </w:rPr>
            </w:pPr>
            <w:r>
              <w:rPr>
                <w:color w:val="000000"/>
                <w:shd w:val="clear" w:color="auto" w:fill="FFFFFF"/>
              </w:rPr>
              <w:t xml:space="preserve">Den åpne fase 3 studien, </w:t>
            </w:r>
            <w:r>
              <w:t>JAVELIN Renal 101</w:t>
            </w:r>
            <w:r>
              <w:rPr>
                <w:color w:val="000000"/>
                <w:shd w:val="clear" w:color="auto" w:fill="FFFFFF"/>
              </w:rPr>
              <w:t xml:space="preserve">, der avelumab i kombinasjon med aksitinib sammenliknes med sunitinib for tidligere ubehandlede pasienter med avansert RCC ble designet med to uavhengige primære endepunkter. De to endepunktene var progresjonsfri overlevlelse (PFS) per RECIST 1.1 og totalt overlevelse (OS) i PD-L1 positive svulster. Sekundære endepunkter var PFS per RECIST 1.1 og OS i total populasjonen. </w:t>
            </w:r>
          </w:p>
          <w:p w14:paraId="4621FEF0" w14:textId="77777777" w:rsidR="008120A9" w:rsidRPr="00E45AFC" w:rsidRDefault="008120A9" w:rsidP="003B5D37">
            <w:pPr>
              <w:rPr>
                <w:color w:val="000000"/>
                <w:shd w:val="clear" w:color="auto" w:fill="FFFFFF"/>
              </w:rPr>
            </w:pPr>
          </w:p>
          <w:p w14:paraId="57B30958" w14:textId="592C5D69" w:rsidR="003B5D37" w:rsidRDefault="003B5D37" w:rsidP="003B5D37">
            <w:pPr>
              <w:rPr>
                <w:rFonts w:cstheme="minorHAnsi"/>
                <w:color w:val="212121"/>
                <w:shd w:val="clear" w:color="auto" w:fill="FFFFFF"/>
              </w:rPr>
            </w:pPr>
            <w:r w:rsidRPr="0051688C">
              <w:rPr>
                <w:rFonts w:cstheme="minorHAnsi"/>
                <w:color w:val="000000"/>
                <w:shd w:val="clear" w:color="auto" w:fill="FFFFFF"/>
              </w:rPr>
              <w:t>Ved første interim analyse (</w:t>
            </w:r>
            <w:r>
              <w:rPr>
                <w:rFonts w:cstheme="minorHAnsi"/>
                <w:color w:val="000000"/>
                <w:shd w:val="clear" w:color="auto" w:fill="FFFFFF"/>
              </w:rPr>
              <w:t xml:space="preserve">Juni 2018) </w:t>
            </w:r>
            <w:r w:rsidRPr="00E37F39">
              <w:rPr>
                <w:rFonts w:cstheme="minorHAnsi"/>
                <w:color w:val="000000"/>
                <w:shd w:val="clear" w:color="auto" w:fill="FFFFFF"/>
              </w:rPr>
              <w:t>(</w:t>
            </w:r>
            <w:r w:rsidR="00757C28" w:rsidRPr="00E37F39">
              <w:rPr>
                <w:rFonts w:cstheme="minorHAnsi"/>
              </w:rPr>
              <w:t xml:space="preserve">Motzer RJ et al. </w:t>
            </w:r>
            <w:r w:rsidR="00757C28" w:rsidRPr="00E37F39">
              <w:rPr>
                <w:rFonts w:cstheme="minorHAnsi"/>
                <w:i/>
                <w:iCs/>
              </w:rPr>
              <w:t>N Engl J Med</w:t>
            </w:r>
            <w:r w:rsidR="00757C28" w:rsidRPr="00E37F39">
              <w:rPr>
                <w:rFonts w:cstheme="minorHAnsi"/>
              </w:rPr>
              <w:t>. 2019;380:1103-1115</w:t>
            </w:r>
            <w:r w:rsidRPr="00E37F39">
              <w:rPr>
                <w:rFonts w:cstheme="minorHAnsi"/>
              </w:rPr>
              <w:t>)</w:t>
            </w:r>
            <w:r w:rsidRPr="0051688C">
              <w:rPr>
                <w:rFonts w:cstheme="minorHAnsi"/>
              </w:rPr>
              <w:t xml:space="preserve"> viste studien at </w:t>
            </w:r>
            <w:r w:rsidR="00AF44AB" w:rsidRPr="0051688C">
              <w:rPr>
                <w:rFonts w:cstheme="minorHAnsi"/>
              </w:rPr>
              <w:t>av</w:t>
            </w:r>
            <w:r w:rsidR="00AF44AB">
              <w:rPr>
                <w:rFonts w:cstheme="minorHAnsi"/>
              </w:rPr>
              <w:t>e</w:t>
            </w:r>
            <w:r w:rsidR="00AF44AB" w:rsidRPr="0051688C">
              <w:rPr>
                <w:rFonts w:cstheme="minorHAnsi"/>
              </w:rPr>
              <w:t>lumab</w:t>
            </w:r>
            <w:r w:rsidRPr="0051688C">
              <w:rPr>
                <w:rFonts w:cstheme="minorHAnsi"/>
              </w:rPr>
              <w:t xml:space="preserve">+aksitinib hadde en fordelaktig PFS over sunitinib hos pasienter med PD-L1 positiv tumor med en </w:t>
            </w:r>
            <w:r w:rsidRPr="0051688C">
              <w:rPr>
                <w:rFonts w:cstheme="minorHAnsi"/>
                <w:lang w:val="pt-BR"/>
              </w:rPr>
              <w:t>median PFS 13,8 mnd vs 7.2 mnd; HR 0,61; 95% K</w:t>
            </w:r>
            <w:r>
              <w:rPr>
                <w:rFonts w:cstheme="minorHAnsi"/>
                <w:lang w:val="pt-BR"/>
              </w:rPr>
              <w:t>I:</w:t>
            </w:r>
            <w:r w:rsidRPr="0051688C">
              <w:rPr>
                <w:rFonts w:cstheme="minorHAnsi"/>
                <w:lang w:val="pt-BR"/>
              </w:rPr>
              <w:t xml:space="preserve"> 0,47–0,79; </w:t>
            </w:r>
            <w:r w:rsidRPr="0051688C">
              <w:rPr>
                <w:rFonts w:cstheme="minorHAnsi"/>
                <w:i/>
                <w:iCs/>
                <w:lang w:val="pt-BR"/>
              </w:rPr>
              <w:t>P</w:t>
            </w:r>
            <w:r w:rsidRPr="0051688C">
              <w:rPr>
                <w:rFonts w:cstheme="minorHAnsi"/>
                <w:lang w:val="pt-BR"/>
              </w:rPr>
              <w:t xml:space="preserve">&lt;0.001). I total polulasjonen (sekundært endepunkt) var mPFS </w:t>
            </w:r>
            <w:r w:rsidRPr="0051688C">
              <w:rPr>
                <w:rFonts w:cstheme="minorHAnsi"/>
                <w:color w:val="212121"/>
                <w:shd w:val="clear" w:color="auto" w:fill="FFFFFF"/>
              </w:rPr>
              <w:t>13,8 mnd sammen liknet med 8,4 mnd for sunitinib (HR, 0,69; 95% KI, 0,56</w:t>
            </w:r>
            <w:r>
              <w:rPr>
                <w:rFonts w:cstheme="minorHAnsi"/>
                <w:color w:val="212121"/>
                <w:shd w:val="clear" w:color="auto" w:fill="FFFFFF"/>
              </w:rPr>
              <w:t>-</w:t>
            </w:r>
            <w:r w:rsidRPr="0051688C">
              <w:rPr>
                <w:rFonts w:cstheme="minorHAnsi"/>
                <w:color w:val="212121"/>
                <w:shd w:val="clear" w:color="auto" w:fill="FFFFFF"/>
              </w:rPr>
              <w:t xml:space="preserve"> 0,84; P&lt;0.001). 63,3% av pasientene hadde en PD-L1 positiv tumor. Ved dette tidspunktet </w:t>
            </w:r>
            <w:r>
              <w:rPr>
                <w:rFonts w:cstheme="minorHAnsi"/>
                <w:color w:val="212121"/>
                <w:shd w:val="clear" w:color="auto" w:fill="FFFFFF"/>
              </w:rPr>
              <w:t xml:space="preserve">og en median oppfølgingstid for total overlevelse på 11,6 mnd og 10,7 mnd for kombinasjon og sunitinib, respektivt, hhv 37 og 44 pasienter dødt.  </w:t>
            </w:r>
          </w:p>
          <w:p w14:paraId="0FC6DDE7" w14:textId="77777777" w:rsidR="002C1AD4" w:rsidRPr="0051688C" w:rsidRDefault="002C1AD4" w:rsidP="003B5D37">
            <w:pPr>
              <w:rPr>
                <w:rFonts w:cstheme="minorHAnsi"/>
                <w:color w:val="212121"/>
                <w:shd w:val="clear" w:color="auto" w:fill="FFFFFF"/>
              </w:rPr>
            </w:pPr>
          </w:p>
          <w:p w14:paraId="0A7A691C" w14:textId="77777777" w:rsidR="003B5D37" w:rsidRDefault="003B5D37" w:rsidP="003B5D37">
            <w:pPr>
              <w:rPr>
                <w:rFonts w:cstheme="minorHAnsi"/>
              </w:rPr>
            </w:pPr>
            <w:r w:rsidRPr="0051688C">
              <w:rPr>
                <w:rFonts w:cstheme="minorHAnsi"/>
                <w:color w:val="000000"/>
                <w:shd w:val="clear" w:color="auto" w:fill="FFFFFF"/>
              </w:rPr>
              <w:t xml:space="preserve">Ved den andre planlagte interim analyse av </w:t>
            </w:r>
            <w:r w:rsidRPr="0051688C">
              <w:rPr>
                <w:rFonts w:cstheme="minorHAnsi"/>
              </w:rPr>
              <w:t xml:space="preserve">JAVELIN Renal 101 studien </w:t>
            </w:r>
            <w:r w:rsidRPr="0051688C">
              <w:rPr>
                <w:rFonts w:cstheme="minorHAnsi"/>
                <w:color w:val="000000"/>
                <w:shd w:val="clear" w:color="auto" w:fill="FFFFFF"/>
              </w:rPr>
              <w:t>(januar 2019, 19 mnd oppføl</w:t>
            </w:r>
            <w:r>
              <w:rPr>
                <w:rFonts w:cstheme="minorHAnsi"/>
                <w:color w:val="000000"/>
                <w:shd w:val="clear" w:color="auto" w:fill="FFFFFF"/>
              </w:rPr>
              <w:t>gning</w:t>
            </w:r>
            <w:r w:rsidRPr="0051688C">
              <w:rPr>
                <w:rFonts w:cstheme="minorHAnsi"/>
                <w:color w:val="000000"/>
                <w:shd w:val="clear" w:color="auto" w:fill="FFFFFF"/>
              </w:rPr>
              <w:t>), viste resultatene at blant pasientene som var positive for PD-L1 var PFS signifikant bedre i kombinasjonen sammenliknet med sunitinib alene (</w:t>
            </w:r>
            <w:r w:rsidRPr="0051688C">
              <w:rPr>
                <w:rFonts w:cstheme="minorHAnsi"/>
              </w:rPr>
              <w:t>HR 0,62</w:t>
            </w:r>
            <w:r>
              <w:rPr>
                <w:rFonts w:cstheme="minorHAnsi"/>
              </w:rPr>
              <w:t xml:space="preserve">, </w:t>
            </w:r>
            <w:r w:rsidRPr="0051688C">
              <w:rPr>
                <w:rFonts w:cstheme="minorHAnsi"/>
              </w:rPr>
              <w:t xml:space="preserve">95% KI: 0,490-0,777). </w:t>
            </w:r>
          </w:p>
          <w:p w14:paraId="25E30052" w14:textId="77777777" w:rsidR="003B5D37" w:rsidRPr="0051688C" w:rsidRDefault="003B5D37" w:rsidP="003B5D37">
            <w:pPr>
              <w:rPr>
                <w:rFonts w:cstheme="minorHAnsi"/>
              </w:rPr>
            </w:pPr>
          </w:p>
          <w:p w14:paraId="151F1F7B" w14:textId="213E196D" w:rsidR="003B5D37" w:rsidRPr="0044193B" w:rsidRDefault="003B5D37" w:rsidP="003B5D37">
            <w:pPr>
              <w:rPr>
                <w:rFonts w:cstheme="minorHAnsi"/>
                <w:b/>
                <w:bCs/>
              </w:rPr>
            </w:pPr>
            <w:r w:rsidRPr="0044193B">
              <w:rPr>
                <w:rFonts w:cstheme="minorHAnsi"/>
                <w:b/>
                <w:bCs/>
              </w:rPr>
              <w:t xml:space="preserve">I IA2 viste </w:t>
            </w:r>
            <w:r>
              <w:rPr>
                <w:rFonts w:cstheme="minorHAnsi"/>
                <w:b/>
                <w:bCs/>
              </w:rPr>
              <w:t>resultaten</w:t>
            </w:r>
            <w:r w:rsidR="008120A9">
              <w:rPr>
                <w:rFonts w:cstheme="minorHAnsi"/>
                <w:b/>
                <w:bCs/>
              </w:rPr>
              <w:t>e</w:t>
            </w:r>
            <w:r w:rsidRPr="0044193B">
              <w:rPr>
                <w:rFonts w:cstheme="minorHAnsi"/>
                <w:b/>
                <w:bCs/>
              </w:rPr>
              <w:t xml:space="preserve"> at for PD-L1 positive pasienter var hasardraten for total overlevelse 0.83 (95% KI, 0,596–1,151) og var således ikke signifikant. </w:t>
            </w:r>
          </w:p>
          <w:p w14:paraId="609B08DF" w14:textId="77777777" w:rsidR="008120A9" w:rsidRDefault="008120A9" w:rsidP="003B5D37">
            <w:pPr>
              <w:rPr>
                <w:rFonts w:cstheme="minorHAnsi"/>
              </w:rPr>
            </w:pPr>
          </w:p>
          <w:p w14:paraId="66077006" w14:textId="7245E2E5" w:rsidR="003B5D37" w:rsidRPr="008120A9" w:rsidRDefault="003B5D37" w:rsidP="003B5D37">
            <w:pPr>
              <w:rPr>
                <w:color w:val="000000"/>
                <w:shd w:val="clear" w:color="auto" w:fill="FFFFFF"/>
              </w:rPr>
            </w:pPr>
            <w:r w:rsidRPr="0051688C">
              <w:rPr>
                <w:rFonts w:cstheme="minorHAnsi"/>
              </w:rPr>
              <w:t>Ved interim analyse 3 (</w:t>
            </w:r>
            <w:r>
              <w:rPr>
                <w:rFonts w:cstheme="minorHAnsi"/>
              </w:rPr>
              <w:t>data cut off, April 2020)</w:t>
            </w:r>
            <w:r w:rsidRPr="0051688C">
              <w:rPr>
                <w:rFonts w:cstheme="minorHAnsi"/>
              </w:rPr>
              <w:t xml:space="preserve"> </w:t>
            </w:r>
            <w:r>
              <w:rPr>
                <w:rFonts w:cstheme="minorHAnsi"/>
              </w:rPr>
              <w:t>(</w:t>
            </w:r>
            <w:r w:rsidR="00757C28" w:rsidRPr="00DD5EB6">
              <w:rPr>
                <w:rFonts w:cstheme="minorHAnsi"/>
              </w:rPr>
              <w:t xml:space="preserve">Haanen J et al. </w:t>
            </w:r>
            <w:r w:rsidR="00757C28" w:rsidRPr="00DD5EB6">
              <w:rPr>
                <w:rFonts w:cstheme="minorHAnsi"/>
                <w:lang w:val="en-US"/>
              </w:rPr>
              <w:t xml:space="preserve">Poster Presented at: Annual Meeting of the American Society of Clinical Oncology; June 4-8, 2021; Virtual. </w:t>
            </w:r>
            <w:r w:rsidR="00757C28" w:rsidRPr="00DD5EB6">
              <w:rPr>
                <w:rFonts w:cstheme="minorHAnsi"/>
              </w:rPr>
              <w:t xml:space="preserve">Abstract </w:t>
            </w:r>
            <w:hyperlink r:id="rId12" w:history="1">
              <w:r w:rsidR="00757C28" w:rsidRPr="00DD5EB6">
                <w:rPr>
                  <w:rStyle w:val="Hyperlink"/>
                  <w:rFonts w:cstheme="minorHAnsi"/>
                </w:rPr>
                <w:t>4574</w:t>
              </w:r>
            </w:hyperlink>
            <w:r w:rsidR="00757C28" w:rsidRPr="00DD5EB6">
              <w:rPr>
                <w:rFonts w:cstheme="minorHAnsi"/>
              </w:rPr>
              <w:t>.</w:t>
            </w:r>
            <w:r w:rsidR="00757C28" w:rsidRPr="00DD5EB6">
              <w:rPr>
                <w:rFonts w:cstheme="minorHAnsi"/>
                <w:lang w:val="fr-FR"/>
              </w:rPr>
              <w:t xml:space="preserve">; 2. </w:t>
            </w:r>
            <w:r w:rsidR="00757C28" w:rsidRPr="00DD5EB6">
              <w:rPr>
                <w:rFonts w:cstheme="minorHAnsi"/>
              </w:rPr>
              <w:t xml:space="preserve">ClinicalTrials.gov. </w:t>
            </w:r>
            <w:hyperlink r:id="rId13" w:history="1">
              <w:r w:rsidR="00757C28" w:rsidRPr="00DD5EB6">
                <w:rPr>
                  <w:rStyle w:val="Hyperlink"/>
                  <w:rFonts w:cstheme="minorHAnsi"/>
                </w:rPr>
                <w:t>https://clinicaltrials.gov/ct2/show/NCT02684006</w:t>
              </w:r>
            </w:hyperlink>
            <w:r w:rsidR="00757C28" w:rsidRPr="00DD5EB6">
              <w:rPr>
                <w:rFonts w:cstheme="minorHAnsi"/>
              </w:rPr>
              <w:t>. Accessed June 10, 2021</w:t>
            </w:r>
            <w:r w:rsidRPr="00E45AFC">
              <w:rPr>
                <w:rFonts w:cstheme="minorHAnsi"/>
              </w:rPr>
              <w:t xml:space="preserve">) ble </w:t>
            </w:r>
            <w:r>
              <w:rPr>
                <w:rFonts w:cstheme="minorHAnsi"/>
              </w:rPr>
              <w:t xml:space="preserve">en utforskende analyse av </w:t>
            </w:r>
            <w:r w:rsidRPr="00E45AFC">
              <w:rPr>
                <w:rFonts w:cstheme="minorHAnsi"/>
              </w:rPr>
              <w:t xml:space="preserve">effektene presentert basert på </w:t>
            </w:r>
            <w:r>
              <w:rPr>
                <w:rFonts w:cstheme="minorHAnsi"/>
              </w:rPr>
              <w:t xml:space="preserve">prespesifiserte pasientgrupper, inklusivt </w:t>
            </w:r>
            <w:r w:rsidRPr="00E45AFC">
              <w:rPr>
                <w:rFonts w:cstheme="minorHAnsi"/>
              </w:rPr>
              <w:t>IMDC risiko gru</w:t>
            </w:r>
            <w:r>
              <w:rPr>
                <w:rFonts w:cstheme="minorHAnsi"/>
              </w:rPr>
              <w:t>pper</w:t>
            </w:r>
            <w:r w:rsidR="008120A9">
              <w:rPr>
                <w:rFonts w:cstheme="minorHAnsi"/>
              </w:rPr>
              <w:t>, ECOG og PDL1 status</w:t>
            </w:r>
            <w:r>
              <w:rPr>
                <w:rFonts w:cstheme="minorHAnsi"/>
              </w:rPr>
              <w:t xml:space="preserve">. Total overlevelsen for alle pasienten i denne analysen viste en klinisk relevant </w:t>
            </w:r>
            <w:r w:rsidR="00AF44AB">
              <w:rPr>
                <w:rFonts w:cstheme="minorHAnsi"/>
              </w:rPr>
              <w:t>forskjell,</w:t>
            </w:r>
            <w:r>
              <w:rPr>
                <w:rFonts w:cstheme="minorHAnsi"/>
              </w:rPr>
              <w:t xml:space="preserve"> men resultatene var ikke signifikante</w:t>
            </w:r>
            <w:r w:rsidR="008120A9">
              <w:rPr>
                <w:rFonts w:cstheme="minorHAnsi"/>
              </w:rPr>
              <w:t xml:space="preserve"> i noen av pasientgruppen</w:t>
            </w:r>
            <w:r>
              <w:rPr>
                <w:rFonts w:cstheme="minorHAnsi"/>
              </w:rPr>
              <w:t xml:space="preserve">. </w:t>
            </w:r>
            <w:r w:rsidR="008120A9">
              <w:rPr>
                <w:rFonts w:cstheme="minorHAnsi"/>
              </w:rPr>
              <w:t xml:space="preserve">Hasard raten for OS for alle pasienten </w:t>
            </w:r>
            <w:r w:rsidR="008120A9" w:rsidRPr="008120A9">
              <w:rPr>
                <w:rFonts w:cstheme="minorHAnsi"/>
              </w:rPr>
              <w:t>var</w:t>
            </w:r>
            <w:r w:rsidRPr="008120A9">
              <w:rPr>
                <w:rFonts w:cstheme="minorHAnsi"/>
              </w:rPr>
              <w:t xml:space="preserve"> </w:t>
            </w:r>
            <w:r w:rsidRPr="008120A9">
              <w:rPr>
                <w:color w:val="000000"/>
                <w:shd w:val="clear" w:color="auto" w:fill="FFFFFF"/>
              </w:rPr>
              <w:t>0,79 (</w:t>
            </w:r>
            <w:r w:rsidRPr="0051688C">
              <w:rPr>
                <w:rFonts w:cstheme="minorHAnsi"/>
                <w:lang w:val="pt-BR"/>
              </w:rPr>
              <w:t>95% K</w:t>
            </w:r>
            <w:r>
              <w:rPr>
                <w:rFonts w:cstheme="minorHAnsi"/>
                <w:lang w:val="pt-BR"/>
              </w:rPr>
              <w:t>I:</w:t>
            </w:r>
            <w:r w:rsidRPr="0051688C">
              <w:rPr>
                <w:rFonts w:cstheme="minorHAnsi"/>
                <w:lang w:val="pt-BR"/>
              </w:rPr>
              <w:t xml:space="preserve"> </w:t>
            </w:r>
            <w:r w:rsidRPr="008120A9">
              <w:rPr>
                <w:color w:val="000000"/>
                <w:shd w:val="clear" w:color="auto" w:fill="FFFFFF"/>
              </w:rPr>
              <w:t>0,643-0,969)</w:t>
            </w:r>
            <w:r w:rsidR="008120A9" w:rsidRPr="008120A9">
              <w:rPr>
                <w:color w:val="000000"/>
                <w:shd w:val="clear" w:color="auto" w:fill="FFFFFF"/>
              </w:rPr>
              <w:t>. I</w:t>
            </w:r>
            <w:r w:rsidR="008120A9">
              <w:rPr>
                <w:color w:val="000000"/>
                <w:shd w:val="clear" w:color="auto" w:fill="FFFFFF"/>
              </w:rPr>
              <w:t xml:space="preserve"> tabellen under ser man at OS resultantene ikke er signifikante for noen av pasien</w:t>
            </w:r>
            <w:r w:rsidR="00AF44AB">
              <w:rPr>
                <w:color w:val="000000"/>
                <w:shd w:val="clear" w:color="auto" w:fill="FFFFFF"/>
              </w:rPr>
              <w:t>t</w:t>
            </w:r>
            <w:r w:rsidR="008120A9">
              <w:rPr>
                <w:color w:val="000000"/>
                <w:shd w:val="clear" w:color="auto" w:fill="FFFFFF"/>
              </w:rPr>
              <w:t xml:space="preserve">gruppene. </w:t>
            </w:r>
          </w:p>
          <w:p w14:paraId="1894C6F7" w14:textId="77777777" w:rsidR="008120A9" w:rsidRPr="008120A9" w:rsidRDefault="008120A9" w:rsidP="003B5D37">
            <w:pPr>
              <w:rPr>
                <w:color w:val="000000"/>
                <w:shd w:val="clear" w:color="auto" w:fill="FFFFFF"/>
              </w:rPr>
            </w:pPr>
          </w:p>
          <w:tbl>
            <w:tblPr>
              <w:tblW w:w="6000" w:type="dxa"/>
              <w:tblCellMar>
                <w:left w:w="0" w:type="dxa"/>
                <w:right w:w="0" w:type="dxa"/>
              </w:tblCellMar>
              <w:tblLook w:val="0620" w:firstRow="1" w:lastRow="0" w:firstColumn="0" w:lastColumn="0" w:noHBand="1" w:noVBand="1"/>
            </w:tblPr>
            <w:tblGrid>
              <w:gridCol w:w="3000"/>
              <w:gridCol w:w="3000"/>
            </w:tblGrid>
            <w:tr w:rsidR="008120A9" w:rsidRPr="006F587A" w14:paraId="5A5DC256" w14:textId="77777777" w:rsidTr="00471BCC">
              <w:trPr>
                <w:trHeight w:val="292"/>
              </w:trPr>
              <w:tc>
                <w:tcPr>
                  <w:tcW w:w="3000" w:type="dxa"/>
                  <w:tcBorders>
                    <w:top w:val="single" w:sz="8" w:space="0" w:color="FFFFFF"/>
                    <w:left w:val="single" w:sz="8" w:space="0" w:color="FFFFFF"/>
                    <w:bottom w:val="single" w:sz="24" w:space="0" w:color="FFFFFF"/>
                    <w:right w:val="single" w:sz="8" w:space="0" w:color="FFFFFF"/>
                  </w:tcBorders>
                  <w:shd w:val="clear" w:color="auto" w:fill="00857C"/>
                  <w:tcMar>
                    <w:top w:w="43" w:type="dxa"/>
                    <w:left w:w="57" w:type="dxa"/>
                    <w:bottom w:w="43" w:type="dxa"/>
                    <w:right w:w="57" w:type="dxa"/>
                  </w:tcMar>
                  <w:vAlign w:val="center"/>
                  <w:hideMark/>
                </w:tcPr>
                <w:p w14:paraId="65D6B037"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b/>
                      <w:bCs/>
                      <w:color w:val="000000" w:themeColor="text1"/>
                      <w:sz w:val="17"/>
                      <w:szCs w:val="17"/>
                    </w:rPr>
                    <w:t>Subgroup</w:t>
                  </w:r>
                </w:p>
              </w:tc>
              <w:tc>
                <w:tcPr>
                  <w:tcW w:w="3000" w:type="dxa"/>
                  <w:tcBorders>
                    <w:top w:val="single" w:sz="8" w:space="0" w:color="FFFFFF"/>
                    <w:left w:val="single" w:sz="8" w:space="0" w:color="FFFFFF"/>
                    <w:bottom w:val="single" w:sz="24" w:space="0" w:color="FFFFFF"/>
                    <w:right w:val="single" w:sz="8" w:space="0" w:color="FFFFFF"/>
                  </w:tcBorders>
                  <w:shd w:val="clear" w:color="auto" w:fill="00857C"/>
                  <w:tcMar>
                    <w:top w:w="43" w:type="dxa"/>
                    <w:left w:w="57" w:type="dxa"/>
                    <w:bottom w:w="43" w:type="dxa"/>
                    <w:right w:w="57" w:type="dxa"/>
                  </w:tcMar>
                  <w:vAlign w:val="center"/>
                  <w:hideMark/>
                </w:tcPr>
                <w:p w14:paraId="7833129B"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b/>
                      <w:bCs/>
                      <w:color w:val="000000" w:themeColor="text1"/>
                      <w:sz w:val="17"/>
                      <w:szCs w:val="17"/>
                    </w:rPr>
                    <w:t>OS HR (95% CI)</w:t>
                  </w:r>
                </w:p>
              </w:tc>
            </w:tr>
            <w:tr w:rsidR="008120A9" w:rsidRPr="006F587A" w14:paraId="7469280F" w14:textId="77777777" w:rsidTr="00471BCC">
              <w:trPr>
                <w:trHeight w:val="297"/>
              </w:trPr>
              <w:tc>
                <w:tcPr>
                  <w:tcW w:w="3000" w:type="dxa"/>
                  <w:tcBorders>
                    <w:top w:val="single" w:sz="24"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59F54B29"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All patients</w:t>
                  </w:r>
                </w:p>
              </w:tc>
              <w:tc>
                <w:tcPr>
                  <w:tcW w:w="3000" w:type="dxa"/>
                  <w:tcBorders>
                    <w:top w:val="single" w:sz="24"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32514FA4"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0.79 (0.64–0.97)</w:t>
                  </w:r>
                </w:p>
              </w:tc>
            </w:tr>
            <w:tr w:rsidR="008120A9" w:rsidRPr="006F587A" w14:paraId="4A276A5F" w14:textId="77777777" w:rsidTr="00471BCC">
              <w:trPr>
                <w:trHeight w:val="297"/>
              </w:trPr>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0132AD5B"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 xml:space="preserve">ECOG PS </w:t>
                  </w:r>
                </w:p>
              </w:tc>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103130BD"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p>
              </w:tc>
            </w:tr>
            <w:tr w:rsidR="008120A9" w:rsidRPr="006F587A" w14:paraId="3983A09A" w14:textId="77777777" w:rsidTr="00471BCC">
              <w:trPr>
                <w:trHeight w:val="297"/>
              </w:trPr>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6528AE31"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0</w:t>
                  </w:r>
                </w:p>
              </w:tc>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64AF70B4"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0.77 (0.58–1.02)</w:t>
                  </w:r>
                </w:p>
              </w:tc>
            </w:tr>
            <w:tr w:rsidR="008120A9" w:rsidRPr="006F587A" w14:paraId="2EC0B33D" w14:textId="77777777" w:rsidTr="00471BCC">
              <w:trPr>
                <w:trHeight w:val="297"/>
              </w:trPr>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09B50D6A"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1</w:t>
                  </w:r>
                </w:p>
              </w:tc>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01D04A58"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0.81 (0.60–1.09)</w:t>
                  </w:r>
                </w:p>
              </w:tc>
            </w:tr>
            <w:tr w:rsidR="008120A9" w:rsidRPr="006F587A" w14:paraId="512A7DDA" w14:textId="77777777" w:rsidTr="00471BCC">
              <w:trPr>
                <w:trHeight w:val="297"/>
              </w:trPr>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31A8F784"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PD-L1 status</w:t>
                  </w:r>
                </w:p>
              </w:tc>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3A2C50F4"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p>
              </w:tc>
            </w:tr>
            <w:tr w:rsidR="008120A9" w:rsidRPr="006F587A" w14:paraId="677CD120" w14:textId="77777777" w:rsidTr="00471BCC">
              <w:trPr>
                <w:trHeight w:val="297"/>
              </w:trPr>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662AEC89"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Positive</w:t>
                  </w:r>
                </w:p>
              </w:tc>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17C12388"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0.82 (0.63–1.05)</w:t>
                  </w:r>
                </w:p>
              </w:tc>
            </w:tr>
            <w:tr w:rsidR="008120A9" w:rsidRPr="006F587A" w14:paraId="6509B535" w14:textId="77777777" w:rsidTr="00471BCC">
              <w:trPr>
                <w:trHeight w:val="297"/>
              </w:trPr>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3A6FA5B9"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Negative</w:t>
                  </w:r>
                </w:p>
              </w:tc>
              <w:tc>
                <w:tcPr>
                  <w:tcW w:w="3000" w:type="dxa"/>
                  <w:tcBorders>
                    <w:top w:val="single" w:sz="8" w:space="0" w:color="FFFFFF"/>
                    <w:left w:val="single" w:sz="8" w:space="0" w:color="FFFFFF"/>
                    <w:bottom w:val="single" w:sz="8" w:space="0" w:color="FFFFFF"/>
                    <w:right w:val="single" w:sz="8" w:space="0" w:color="FFFFFF"/>
                  </w:tcBorders>
                  <w:shd w:val="clear" w:color="auto" w:fill="F2F2F2"/>
                  <w:tcMar>
                    <w:top w:w="43" w:type="dxa"/>
                    <w:left w:w="144" w:type="dxa"/>
                    <w:bottom w:w="43" w:type="dxa"/>
                    <w:right w:w="144" w:type="dxa"/>
                  </w:tcMar>
                  <w:vAlign w:val="center"/>
                  <w:hideMark/>
                </w:tcPr>
                <w:p w14:paraId="68356FAA" w14:textId="77777777" w:rsidR="008120A9" w:rsidRPr="006F587A" w:rsidRDefault="008120A9" w:rsidP="008120A9">
                  <w:pPr>
                    <w:spacing w:after="0" w:line="240" w:lineRule="auto"/>
                    <w:rPr>
                      <w:rFonts w:ascii="Invention" w:eastAsia="Invention" w:hAnsi="Invention" w:cs="Invention"/>
                      <w:color w:val="000000" w:themeColor="text1"/>
                      <w:sz w:val="17"/>
                      <w:szCs w:val="17"/>
                    </w:rPr>
                  </w:pPr>
                  <w:r w:rsidRPr="006F587A">
                    <w:rPr>
                      <w:rFonts w:ascii="Invention" w:eastAsia="Invention" w:hAnsi="Invention" w:cs="Invention"/>
                      <w:color w:val="000000" w:themeColor="text1"/>
                      <w:sz w:val="17"/>
                      <w:szCs w:val="17"/>
                    </w:rPr>
                    <w:t>0.80 (0.55–1.17)</w:t>
                  </w:r>
                </w:p>
              </w:tc>
            </w:tr>
          </w:tbl>
          <w:p w14:paraId="40799409" w14:textId="0DC873BB" w:rsidR="008120A9" w:rsidRPr="008120A9" w:rsidRDefault="008120A9" w:rsidP="008120A9">
            <w:pPr>
              <w:rPr>
                <w:i/>
                <w:iCs/>
              </w:rPr>
            </w:pPr>
            <w:r w:rsidRPr="008120A9">
              <w:rPr>
                <w:i/>
                <w:iCs/>
              </w:rPr>
              <w:t xml:space="preserve">Tabellen viser OS for </w:t>
            </w:r>
            <w:r>
              <w:rPr>
                <w:i/>
                <w:iCs/>
              </w:rPr>
              <w:t xml:space="preserve">pre-spesifiserte </w:t>
            </w:r>
            <w:r w:rsidRPr="008120A9">
              <w:rPr>
                <w:i/>
                <w:iCs/>
              </w:rPr>
              <w:t>subgrupper av pasienter</w:t>
            </w:r>
            <w:r>
              <w:rPr>
                <w:i/>
                <w:iCs/>
              </w:rPr>
              <w:t xml:space="preserve"> i </w:t>
            </w:r>
            <w:r w:rsidRPr="008120A9">
              <w:rPr>
                <w:rFonts w:cstheme="minorHAnsi"/>
                <w:i/>
                <w:iCs/>
              </w:rPr>
              <w:t>JAVELIN Renal 101 studien</w:t>
            </w:r>
            <w:r>
              <w:rPr>
                <w:rFonts w:cstheme="minorHAnsi"/>
                <w:i/>
                <w:iCs/>
              </w:rPr>
              <w:t>.</w:t>
            </w:r>
          </w:p>
          <w:p w14:paraId="76679E13" w14:textId="77777777" w:rsidR="008120A9" w:rsidRDefault="008120A9" w:rsidP="008120A9"/>
          <w:p w14:paraId="18EFA83D" w14:textId="41EDB3D6" w:rsidR="00AF44AB" w:rsidRPr="00E37F39" w:rsidRDefault="00AF44AB" w:rsidP="00AF44AB">
            <w:pPr>
              <w:pStyle w:val="ListParagraph"/>
              <w:numPr>
                <w:ilvl w:val="0"/>
                <w:numId w:val="19"/>
              </w:numPr>
              <w:rPr>
                <w:rFonts w:eastAsiaTheme="minorEastAsia"/>
                <w:b/>
                <w:bCs/>
              </w:rPr>
            </w:pPr>
            <w:r w:rsidRPr="00E37F39">
              <w:rPr>
                <w:rFonts w:ascii="Calibri" w:eastAsia="Calibri" w:hAnsi="Calibri" w:cs="Calibri"/>
                <w:b/>
                <w:bCs/>
              </w:rPr>
              <w:t>Behandling basert på JAVELIN Renal 101 er ikke anbefalt i internasjonale retningslinjer (ESMO, EAU). Dette er i motsetning til de andre innførte metodene i denne gruppen.</w:t>
            </w:r>
          </w:p>
          <w:p w14:paraId="5718DF06" w14:textId="77777777" w:rsidR="00AF44AB" w:rsidRPr="00AF44AB" w:rsidRDefault="00AF44AB" w:rsidP="00AF44AB">
            <w:pPr>
              <w:pStyle w:val="ListParagraph"/>
              <w:rPr>
                <w:rFonts w:eastAsiaTheme="minorEastAsia"/>
              </w:rPr>
            </w:pPr>
          </w:p>
          <w:p w14:paraId="7074FFB6" w14:textId="77777777" w:rsidR="00AF44AB" w:rsidRDefault="00AF44AB" w:rsidP="00AF44AB">
            <w:pPr>
              <w:spacing w:after="200" w:line="257" w:lineRule="auto"/>
              <w:rPr>
                <w:rFonts w:ascii="Calibri" w:eastAsia="Calibri" w:hAnsi="Calibri" w:cs="Calibri"/>
              </w:rPr>
            </w:pPr>
            <w:r w:rsidRPr="08ADAF1C">
              <w:rPr>
                <w:rFonts w:ascii="Calibri" w:eastAsia="Calibri" w:hAnsi="Calibri" w:cs="Calibri"/>
              </w:rPr>
              <w:t>Resultatene fra orginal analysen, IA2 og IA3 (utforskende) fra JAVELIN Renal 101 studien, viser fortsatt ingen statistisk signifikant overlevelsesgevinst for kombinasjonen avalumab+aksitionib vs sunitinib. I den utforskende analysen (IA3) er OS verken</w:t>
            </w:r>
            <w:r>
              <w:rPr>
                <w:rFonts w:ascii="Calibri" w:eastAsia="Calibri" w:hAnsi="Calibri" w:cs="Calibri"/>
              </w:rPr>
              <w:t xml:space="preserve"> </w:t>
            </w:r>
            <w:r w:rsidRPr="08ADAF1C">
              <w:rPr>
                <w:rFonts w:ascii="Calibri" w:eastAsia="Calibri" w:hAnsi="Calibri" w:cs="Calibri"/>
              </w:rPr>
              <w:t>statistisk signifikan</w:t>
            </w:r>
            <w:r>
              <w:rPr>
                <w:rFonts w:ascii="Calibri" w:eastAsia="Calibri" w:hAnsi="Calibri" w:cs="Calibri"/>
              </w:rPr>
              <w:t>t</w:t>
            </w:r>
            <w:r w:rsidRPr="08ADAF1C">
              <w:rPr>
                <w:rFonts w:ascii="Calibri" w:eastAsia="Calibri" w:hAnsi="Calibri" w:cs="Calibri"/>
              </w:rPr>
              <w:t xml:space="preserve"> for PD-L1 positive eller negative pasientene</w:t>
            </w:r>
            <w:r>
              <w:rPr>
                <w:rFonts w:ascii="Calibri" w:eastAsia="Calibri" w:hAnsi="Calibri" w:cs="Calibri"/>
              </w:rPr>
              <w:t xml:space="preserve"> (se detaljert informasjon i seksjon 10). </w:t>
            </w:r>
            <w:r w:rsidRPr="08ADAF1C">
              <w:rPr>
                <w:rFonts w:ascii="Calibri" w:eastAsia="Calibri" w:hAnsi="Calibri" w:cs="Calibri"/>
              </w:rPr>
              <w:t xml:space="preserve">  </w:t>
            </w:r>
          </w:p>
          <w:p w14:paraId="5F19E55C" w14:textId="4C2A0F7E" w:rsidR="00AF44AB" w:rsidRPr="00E37F39" w:rsidRDefault="00AF44AB" w:rsidP="00E37F39">
            <w:pPr>
              <w:rPr>
                <w:rFonts w:eastAsiaTheme="minorEastAsia"/>
              </w:rPr>
            </w:pPr>
            <w:r w:rsidRPr="08ADAF1C">
              <w:rPr>
                <w:rFonts w:ascii="Calibri" w:eastAsia="Calibri" w:hAnsi="Calibri" w:cs="Calibri"/>
              </w:rPr>
              <w:t xml:space="preserve">Som konsekvens </w:t>
            </w:r>
            <w:r>
              <w:rPr>
                <w:rFonts w:ascii="Calibri" w:eastAsia="Calibri" w:hAnsi="Calibri" w:cs="Calibri"/>
              </w:rPr>
              <w:t>av de manglende OS data av</w:t>
            </w:r>
            <w:r w:rsidRPr="08ADAF1C">
              <w:rPr>
                <w:rFonts w:ascii="Calibri" w:eastAsia="Calibri" w:hAnsi="Calibri" w:cs="Calibri"/>
              </w:rPr>
              <w:t xml:space="preserve"> kombinasjonen</w:t>
            </w:r>
            <w:r>
              <w:rPr>
                <w:rFonts w:ascii="Calibri" w:eastAsia="Calibri" w:hAnsi="Calibri" w:cs="Calibri"/>
              </w:rPr>
              <w:t xml:space="preserve"> er</w:t>
            </w:r>
            <w:r w:rsidRPr="08ADAF1C">
              <w:rPr>
                <w:rFonts w:ascii="Calibri" w:eastAsia="Calibri" w:hAnsi="Calibri" w:cs="Calibri"/>
              </w:rPr>
              <w:t xml:space="preserve"> avelumba+aksitinib ikke ansett som tilstrekkelig godt dokumentert </w:t>
            </w:r>
            <w:r>
              <w:rPr>
                <w:rFonts w:ascii="Calibri" w:eastAsia="Calibri" w:hAnsi="Calibri" w:cs="Calibri"/>
              </w:rPr>
              <w:t xml:space="preserve">av internasjonale eksperter </w:t>
            </w:r>
            <w:r w:rsidRPr="08ADAF1C">
              <w:rPr>
                <w:rFonts w:ascii="Calibri" w:eastAsia="Calibri" w:hAnsi="Calibri" w:cs="Calibri"/>
              </w:rPr>
              <w:t xml:space="preserve">og ikke anbefalt som et behandlingsalternativ i internasjonale retningslinjer (ESMO: </w:t>
            </w:r>
            <w:hyperlink r:id="rId14">
              <w:r w:rsidRPr="08ADAF1C">
                <w:rPr>
                  <w:rStyle w:val="Hyperlink"/>
                  <w:rFonts w:ascii="Calibri" w:eastAsia="Calibri" w:hAnsi="Calibri" w:cs="Calibri"/>
                </w:rPr>
                <w:t>eUpdate – Renal Cell Carcinoma Treatment Recommendations (esmo.org)</w:t>
              </w:r>
            </w:hyperlink>
            <w:r w:rsidRPr="08ADAF1C">
              <w:rPr>
                <w:rFonts w:ascii="Calibri" w:eastAsia="Calibri" w:hAnsi="Calibri" w:cs="Calibri"/>
              </w:rPr>
              <w:t xml:space="preserve">og EAU: </w:t>
            </w:r>
            <w:hyperlink r:id="rId15">
              <w:r w:rsidRPr="08ADAF1C">
                <w:rPr>
                  <w:rStyle w:val="Hyperlink"/>
                  <w:rFonts w:ascii="Calibri" w:eastAsia="Calibri" w:hAnsi="Calibri" w:cs="Calibri"/>
                </w:rPr>
                <w:t>EAU Guidelines: Renal Cell Carcinoma | Uroweb</w:t>
              </w:r>
            </w:hyperlink>
            <w:r w:rsidRPr="08ADAF1C">
              <w:rPr>
                <w:rFonts w:ascii="Calibri" w:eastAsia="Calibri" w:hAnsi="Calibri" w:cs="Calibri"/>
              </w:rPr>
              <w:t xml:space="preserve">) eller anbefalt i det norske PD-1/PD-L1 anbudet. </w:t>
            </w:r>
            <w:r w:rsidRPr="00E37F39">
              <w:rPr>
                <w:rFonts w:ascii="Calibri" w:eastAsia="Calibri" w:hAnsi="Calibri" w:cs="Calibri"/>
              </w:rPr>
              <w:t xml:space="preserve">JAVELIN Renal 101 er designet med primærendepunkter (PFS og OS) for PD-L1 positive pasienter. Det er ikke etablert seleksjon basert på PD-L1 positive pasienter i dagens anbud. </w:t>
            </w:r>
          </w:p>
          <w:p w14:paraId="6DFCCB07" w14:textId="77777777" w:rsidR="00AF44AB" w:rsidRDefault="00AF44AB" w:rsidP="003B5D37">
            <w:pPr>
              <w:rPr>
                <w:rFonts w:cstheme="minorHAnsi"/>
              </w:rPr>
            </w:pPr>
          </w:p>
          <w:p w14:paraId="3FD3BA8F" w14:textId="1E1E0DBE" w:rsidR="008120A9" w:rsidRPr="00E37F39" w:rsidRDefault="008120A9" w:rsidP="00E37F39">
            <w:pPr>
              <w:pStyle w:val="ListParagraph"/>
              <w:numPr>
                <w:ilvl w:val="0"/>
                <w:numId w:val="19"/>
              </w:numPr>
              <w:rPr>
                <w:rFonts w:eastAsiaTheme="minorEastAsia"/>
                <w:b/>
                <w:bCs/>
              </w:rPr>
            </w:pPr>
            <w:r w:rsidRPr="00E37F39">
              <w:rPr>
                <w:rFonts w:ascii="Calibri" w:eastAsia="Calibri" w:hAnsi="Calibri" w:cs="Calibri"/>
                <w:b/>
                <w:bCs/>
              </w:rPr>
              <w:t>JAVELIN Renal 101 studien er designet studien til å lese av primært endepunkt (PFS/OS) for PD-L1 positive pasienter. Det er ikke seleksjon basert på PD-L1 positive pasienter i dagens anbud.</w:t>
            </w:r>
          </w:p>
          <w:p w14:paraId="23CB3937" w14:textId="77777777" w:rsidR="003B5D37" w:rsidRDefault="003B5D37" w:rsidP="003B5D37">
            <w:pPr>
              <w:rPr>
                <w:rFonts w:cstheme="minorHAnsi"/>
              </w:rPr>
            </w:pPr>
          </w:p>
          <w:p w14:paraId="048FF0F1" w14:textId="103E05C6" w:rsidR="00523611" w:rsidRDefault="003B5D37" w:rsidP="003B5D37">
            <w:pPr>
              <w:rPr>
                <w:color w:val="000000"/>
                <w:shd w:val="clear" w:color="auto" w:fill="FFFFFF"/>
              </w:rPr>
            </w:pPr>
            <w:r>
              <w:rPr>
                <w:rFonts w:cstheme="minorHAnsi"/>
              </w:rPr>
              <w:t xml:space="preserve">Dersom vi </w:t>
            </w:r>
            <w:r w:rsidR="00523611">
              <w:rPr>
                <w:rFonts w:cstheme="minorHAnsi"/>
              </w:rPr>
              <w:t xml:space="preserve">sammenlikner </w:t>
            </w:r>
            <w:r w:rsidR="002C1AD4">
              <w:rPr>
                <w:rFonts w:cstheme="minorHAnsi"/>
              </w:rPr>
              <w:t xml:space="preserve">studiedesign av </w:t>
            </w:r>
            <w:r w:rsidR="00523611">
              <w:rPr>
                <w:color w:val="000000"/>
                <w:shd w:val="clear" w:color="auto" w:fill="FFFFFF"/>
              </w:rPr>
              <w:t>JAVELIN Renal 101 studien med Keynote 426 studien der pemb</w:t>
            </w:r>
            <w:r w:rsidR="002C1AD4">
              <w:rPr>
                <w:color w:val="000000"/>
                <w:shd w:val="clear" w:color="auto" w:fill="FFFFFF"/>
              </w:rPr>
              <w:t xml:space="preserve">rolizumab </w:t>
            </w:r>
            <w:r w:rsidR="00523611">
              <w:rPr>
                <w:color w:val="000000"/>
                <w:shd w:val="clear" w:color="auto" w:fill="FFFFFF"/>
              </w:rPr>
              <w:t xml:space="preserve">kombineres med </w:t>
            </w:r>
            <w:r w:rsidR="00824EE7">
              <w:rPr>
                <w:color w:val="000000"/>
                <w:shd w:val="clear" w:color="auto" w:fill="FFFFFF"/>
              </w:rPr>
              <w:t>aksitinib</w:t>
            </w:r>
            <w:r w:rsidR="00523611">
              <w:rPr>
                <w:color w:val="000000"/>
                <w:shd w:val="clear" w:color="auto" w:fill="FFFFFF"/>
              </w:rPr>
              <w:t xml:space="preserve"> ser vi at design av studien er </w:t>
            </w:r>
            <w:r w:rsidR="002C1AD4">
              <w:rPr>
                <w:color w:val="000000"/>
                <w:shd w:val="clear" w:color="auto" w:fill="FFFFFF"/>
              </w:rPr>
              <w:t xml:space="preserve">ganske </w:t>
            </w:r>
            <w:r w:rsidR="00523611">
              <w:rPr>
                <w:color w:val="000000"/>
                <w:shd w:val="clear" w:color="auto" w:fill="FFFFFF"/>
              </w:rPr>
              <w:t xml:space="preserve">lik. Den store forskjellen mellom </w:t>
            </w:r>
            <w:r w:rsidR="002C1AD4">
              <w:rPr>
                <w:color w:val="000000"/>
                <w:shd w:val="clear" w:color="auto" w:fill="FFFFFF"/>
              </w:rPr>
              <w:t>studiene</w:t>
            </w:r>
            <w:r w:rsidR="00523611">
              <w:rPr>
                <w:color w:val="000000"/>
                <w:shd w:val="clear" w:color="auto" w:fill="FFFFFF"/>
              </w:rPr>
              <w:t xml:space="preserve"> er at JAVELIN Renal 101</w:t>
            </w:r>
            <w:r w:rsidR="0099736D">
              <w:rPr>
                <w:color w:val="000000"/>
                <w:shd w:val="clear" w:color="auto" w:fill="FFFFFF"/>
              </w:rPr>
              <w:t xml:space="preserve"> er designet for å lese av de primære endepunktene PFS </w:t>
            </w:r>
            <w:r w:rsidR="00E37F39">
              <w:rPr>
                <w:color w:val="000000"/>
                <w:shd w:val="clear" w:color="auto" w:fill="FFFFFF"/>
              </w:rPr>
              <w:t>o</w:t>
            </w:r>
            <w:r w:rsidR="0099736D">
              <w:rPr>
                <w:color w:val="000000"/>
                <w:shd w:val="clear" w:color="auto" w:fill="FFFFFF"/>
              </w:rPr>
              <w:t>g OS i pasientgruppen som er positive for PD-L1</w:t>
            </w:r>
            <w:r w:rsidR="002C1AD4">
              <w:rPr>
                <w:color w:val="000000"/>
                <w:shd w:val="clear" w:color="auto" w:fill="FFFFFF"/>
              </w:rPr>
              <w:t xml:space="preserve"> mens KN426 </w:t>
            </w:r>
            <w:r w:rsidR="00824EE7">
              <w:rPr>
                <w:color w:val="000000"/>
                <w:shd w:val="clear" w:color="auto" w:fill="FFFFFF"/>
              </w:rPr>
              <w:t xml:space="preserve">er designet for å lese av resultatene i hele pasientgruppen. </w:t>
            </w:r>
            <w:r w:rsidR="005E5846">
              <w:rPr>
                <w:color w:val="000000"/>
                <w:shd w:val="clear" w:color="auto" w:fill="FFFFFF"/>
              </w:rPr>
              <w:t xml:space="preserve">Avelumab+aksitinib viser en signifikant bedre PFS vs sunitinib, men den totale overlevelsen er ikke statistisk signifikant. </w:t>
            </w:r>
          </w:p>
          <w:p w14:paraId="7154E3EC" w14:textId="77777777" w:rsidR="00FC5AAC" w:rsidRDefault="00FC5AAC" w:rsidP="00181BCB">
            <w:pPr>
              <w:spacing w:after="200" w:line="257" w:lineRule="auto"/>
              <w:rPr>
                <w:rFonts w:ascii="Calibri" w:eastAsia="Calibri" w:hAnsi="Calibri" w:cs="Calibri"/>
              </w:rPr>
            </w:pPr>
          </w:p>
          <w:p w14:paraId="19B67CC5" w14:textId="530F5986" w:rsidR="00181BCB" w:rsidRDefault="00E37F39" w:rsidP="00181BCB">
            <w:pPr>
              <w:spacing w:after="200" w:line="257" w:lineRule="auto"/>
              <w:rPr>
                <w:rFonts w:ascii="Calibri" w:eastAsia="Calibri" w:hAnsi="Calibri" w:cs="Calibri"/>
              </w:rPr>
            </w:pPr>
            <w:r>
              <w:rPr>
                <w:rFonts w:ascii="Calibri" w:eastAsia="Calibri" w:hAnsi="Calibri" w:cs="Calibri"/>
              </w:rPr>
              <w:t xml:space="preserve">Til slutt, i </w:t>
            </w:r>
            <w:r w:rsidR="00181BCB" w:rsidRPr="08ADAF1C">
              <w:rPr>
                <w:rFonts w:ascii="Calibri" w:eastAsia="Calibri" w:hAnsi="Calibri" w:cs="Calibri"/>
              </w:rPr>
              <w:t xml:space="preserve">metodeforslaget </w:t>
            </w:r>
            <w:r w:rsidR="00181BCB">
              <w:t>ID2022_003</w:t>
            </w:r>
            <w:r w:rsidR="00181BCB" w:rsidRPr="08ADAF1C">
              <w:rPr>
                <w:rFonts w:ascii="Calibri" w:eastAsia="Calibri" w:hAnsi="Calibri" w:cs="Calibri"/>
              </w:rPr>
              <w:t xml:space="preserve"> (Merk og Pfizer) </w:t>
            </w:r>
            <w:r w:rsidR="00181BCB">
              <w:rPr>
                <w:rFonts w:ascii="Calibri" w:eastAsia="Calibri" w:hAnsi="Calibri" w:cs="Calibri"/>
              </w:rPr>
              <w:t xml:space="preserve">nevnes det også at norsk klinisk praksis har endret seg. </w:t>
            </w:r>
          </w:p>
          <w:p w14:paraId="08DD5515" w14:textId="172B0BE2" w:rsidR="00181BCB" w:rsidRDefault="00181BCB" w:rsidP="00181BCB">
            <w:pPr>
              <w:spacing w:after="200" w:line="257" w:lineRule="auto"/>
              <w:rPr>
                <w:rFonts w:ascii="Calibri" w:eastAsia="Calibri" w:hAnsi="Calibri" w:cs="Calibri"/>
              </w:rPr>
            </w:pPr>
            <w:r>
              <w:rPr>
                <w:rFonts w:ascii="Calibri" w:eastAsia="Calibri" w:hAnsi="Calibri" w:cs="Calibri"/>
              </w:rPr>
              <w:t>S</w:t>
            </w:r>
            <w:r w:rsidRPr="08ADAF1C">
              <w:rPr>
                <w:rFonts w:ascii="Calibri" w:eastAsia="Calibri" w:hAnsi="Calibri" w:cs="Calibri"/>
              </w:rPr>
              <w:t xml:space="preserve">elv om kanskje norsk klinisk praksis er i ferd med å endre seg der nivolumab i kombinasjon med ipilimumab er anbudsvinner for 1L aRCC, har dataunderlaget fra JAVELIN Renal 101 som </w:t>
            </w:r>
            <w:r w:rsidRPr="00E37F39">
              <w:rPr>
                <w:rFonts w:ascii="Calibri" w:eastAsia="Calibri" w:hAnsi="Calibri" w:cs="Calibri"/>
              </w:rPr>
              <w:t xml:space="preserve">ligger til grunn for den helseøkonomiske analysen av avelumab i kombinasjon med aksitinib (evaluering </w:t>
            </w:r>
            <w:r w:rsidRPr="00E37F39">
              <w:t>ID2019_065</w:t>
            </w:r>
            <w:r w:rsidRPr="00E37F39">
              <w:rPr>
                <w:rFonts w:ascii="Calibri" w:eastAsia="Calibri" w:hAnsi="Calibri" w:cs="Calibri"/>
              </w:rPr>
              <w:t xml:space="preserve">) ikke endret seg (Motzer RJ et al. </w:t>
            </w:r>
            <w:r w:rsidRPr="00E37F39">
              <w:rPr>
                <w:rFonts w:ascii="Calibri" w:eastAsia="Calibri" w:hAnsi="Calibri" w:cs="Calibri"/>
                <w:i/>
                <w:iCs/>
                <w:lang w:val="en-US"/>
              </w:rPr>
              <w:t>N Engl J Med</w:t>
            </w:r>
            <w:r w:rsidRPr="00E37F39">
              <w:rPr>
                <w:rFonts w:ascii="Calibri" w:eastAsia="Calibri" w:hAnsi="Calibri" w:cs="Calibri"/>
                <w:lang w:val="en-US"/>
              </w:rPr>
              <w:t xml:space="preserve">. 2019;380:1103-1115, T. K. Choueiri et al. Annals of oncology, Haanen J et al. Poster Presented at: Annual Meeting of the American Society of Clinical Oncology; June 4-8, 2021; Virtual. </w:t>
            </w:r>
            <w:r w:rsidRPr="00E37F39">
              <w:rPr>
                <w:rFonts w:ascii="Calibri" w:eastAsia="Calibri" w:hAnsi="Calibri" w:cs="Calibri"/>
              </w:rPr>
              <w:t xml:space="preserve">Abstract </w:t>
            </w:r>
            <w:hyperlink r:id="rId16">
              <w:r w:rsidRPr="00E37F39">
                <w:rPr>
                  <w:rStyle w:val="Hyperlink"/>
                  <w:rFonts w:ascii="Calibri" w:eastAsia="Calibri" w:hAnsi="Calibri" w:cs="Calibri"/>
                </w:rPr>
                <w:t>4574</w:t>
              </w:r>
            </w:hyperlink>
            <w:r w:rsidRPr="00E37F39">
              <w:rPr>
                <w:rFonts w:ascii="Calibri" w:eastAsia="Calibri" w:hAnsi="Calibri" w:cs="Calibri"/>
              </w:rPr>
              <w:t xml:space="preserve">). Den store usikkerheten </w:t>
            </w:r>
            <w:r w:rsidRPr="00E37F39">
              <w:rPr>
                <w:rFonts w:ascii="Calibri" w:hAnsi="Calibri" w:cs="Calibri"/>
                <w:color w:val="222222"/>
              </w:rPr>
              <w:t xml:space="preserve">knyttet til langtidsoverlevelsen, </w:t>
            </w:r>
            <w:r w:rsidRPr="00E37F39">
              <w:rPr>
                <w:rFonts w:ascii="Calibri" w:eastAsia="Calibri" w:hAnsi="Calibri" w:cs="Calibri"/>
              </w:rPr>
              <w:t>som ble trukket fram i det originale avslaget, er således fortsatt til stede. Det eneste som er endret er en eventuell pris på avelumab.</w:t>
            </w:r>
            <w:r>
              <w:rPr>
                <w:rFonts w:ascii="Calibri" w:eastAsia="Calibri" w:hAnsi="Calibri" w:cs="Calibri"/>
              </w:rPr>
              <w:t xml:space="preserve"> </w:t>
            </w:r>
          </w:p>
          <w:p w14:paraId="2E15ACFE" w14:textId="77777777" w:rsidR="00181BCB" w:rsidRDefault="00181BCB" w:rsidP="00181BCB">
            <w:pPr>
              <w:rPr>
                <w:rFonts w:ascii="Calibri" w:eastAsia="Calibri" w:hAnsi="Calibri" w:cs="Calibri"/>
              </w:rPr>
            </w:pPr>
          </w:p>
          <w:p w14:paraId="0E4C3836" w14:textId="77777777" w:rsidR="00181BCB" w:rsidRDefault="00181BCB" w:rsidP="00181BCB">
            <w:pPr>
              <w:spacing w:after="200" w:line="257" w:lineRule="auto"/>
              <w:rPr>
                <w:rFonts w:ascii="Calibri" w:hAnsi="Calibri" w:cs="Calibri"/>
                <w:i/>
                <w:iCs/>
                <w:color w:val="222222"/>
              </w:rPr>
            </w:pPr>
          </w:p>
          <w:p w14:paraId="0733ECBC" w14:textId="77777777" w:rsidR="00181BCB" w:rsidRPr="00824EE7" w:rsidRDefault="00181BCB" w:rsidP="003B5D37">
            <w:pPr>
              <w:rPr>
                <w:color w:val="000000"/>
                <w:shd w:val="clear" w:color="auto" w:fill="FFFFFF"/>
              </w:rPr>
            </w:pPr>
          </w:p>
          <w:p w14:paraId="31C3211C" w14:textId="7ED1F47F" w:rsidR="00D53539" w:rsidRPr="005E5846" w:rsidRDefault="00D53539" w:rsidP="0086697D"/>
        </w:tc>
      </w:tr>
    </w:tbl>
    <w:p w14:paraId="541B1D8A" w14:textId="77777777" w:rsidR="006F6B4F" w:rsidRPr="005E5846" w:rsidRDefault="006F6B4F" w:rsidP="003E11D8"/>
    <w:tbl>
      <w:tblPr>
        <w:tblStyle w:val="TableGrid"/>
        <w:tblW w:w="0" w:type="auto"/>
        <w:tblLook w:val="04A0" w:firstRow="1" w:lastRow="0" w:firstColumn="1" w:lastColumn="0" w:noHBand="0" w:noVBand="1"/>
      </w:tblPr>
      <w:tblGrid>
        <w:gridCol w:w="8613"/>
      </w:tblGrid>
      <w:tr w:rsidR="003E11D8" w14:paraId="3BDD2454" w14:textId="77777777" w:rsidTr="0086697D">
        <w:tc>
          <w:tcPr>
            <w:tcW w:w="8613" w:type="dxa"/>
          </w:tcPr>
          <w:p w14:paraId="1797F6A0" w14:textId="5DB19A71" w:rsidR="003E11D8" w:rsidRPr="00821413" w:rsidRDefault="00B17578" w:rsidP="00E10066">
            <w:pPr>
              <w:rPr>
                <w:rFonts w:asciiTheme="majorHAnsi" w:eastAsiaTheme="majorEastAsia" w:hAnsiTheme="majorHAnsi" w:cstheme="majorBidi"/>
                <w:b/>
                <w:bCs/>
              </w:rPr>
            </w:pPr>
            <w:r>
              <w:rPr>
                <w:rFonts w:asciiTheme="majorHAnsi" w:eastAsiaTheme="majorEastAsia" w:hAnsiTheme="majorHAnsi" w:cstheme="majorBidi"/>
                <w:b/>
                <w:bCs/>
              </w:rPr>
              <w:t>11</w:t>
            </w:r>
            <w:r w:rsidR="00702941">
              <w:rPr>
                <w:rFonts w:asciiTheme="majorHAnsi" w:eastAsiaTheme="majorEastAsia" w:hAnsiTheme="majorHAnsi" w:cstheme="majorBidi"/>
                <w:b/>
                <w:bCs/>
              </w:rPr>
              <w:t xml:space="preserve">. </w:t>
            </w:r>
            <w:r w:rsidR="003E11D8" w:rsidRPr="001143A3">
              <w:rPr>
                <w:rFonts w:asciiTheme="majorHAnsi" w:eastAsiaTheme="majorEastAsia" w:hAnsiTheme="majorHAnsi" w:cstheme="majorBidi"/>
                <w:b/>
                <w:bCs/>
              </w:rPr>
              <w:t xml:space="preserve"> Interesser og eventuelle interessekonflikter</w:t>
            </w:r>
            <w:r w:rsidR="003E11D8">
              <w:br/>
            </w:r>
            <w:r w:rsidR="003E11D8" w:rsidRPr="005805DE">
              <w:t xml:space="preserve">Beskriv dine relasjoner eller aktiviteter som kan påvirke, påvirkes av eller oppfattes av andre </w:t>
            </w:r>
            <w:r w:rsidR="003E11D8" w:rsidRPr="005805DE">
              <w:lastRenderedPageBreak/>
              <w:t xml:space="preserve">å ha betydning for den videre håndteringen av metoden som </w:t>
            </w:r>
            <w:r w:rsidR="00E10066">
              <w:t>det gis innspill på</w:t>
            </w:r>
            <w:r w:rsidR="003E11D8" w:rsidRPr="005805DE">
              <w:t xml:space="preserve"> (</w:t>
            </w:r>
            <w:r w:rsidR="00E10066">
              <w:t>f</w:t>
            </w:r>
            <w:r w:rsidR="009C40CB">
              <w:t>or e</w:t>
            </w:r>
            <w:r w:rsidR="003E11D8" w:rsidRPr="005805DE">
              <w:t>ksemp</w:t>
            </w:r>
            <w:r w:rsidR="009C40CB">
              <w:t>el</w:t>
            </w:r>
            <w:r w:rsidR="003E11D8" w:rsidRPr="005805DE">
              <w:t>: økonomiske interesser i saken</w:t>
            </w:r>
            <w:r w:rsidR="009C40CB">
              <w:t>, oppdrag eller andre bindinger</w:t>
            </w:r>
            <w:r w:rsidR="003E11D8" w:rsidRPr="005805DE">
              <w:t>)</w:t>
            </w:r>
            <w:r w:rsidR="00E10066">
              <w:t>.</w:t>
            </w:r>
          </w:p>
        </w:tc>
      </w:tr>
      <w:tr w:rsidR="003E11D8" w14:paraId="589DDAB5" w14:textId="77777777" w:rsidTr="0086697D">
        <w:trPr>
          <w:trHeight w:val="1041"/>
        </w:trPr>
        <w:tc>
          <w:tcPr>
            <w:tcW w:w="8613" w:type="dxa"/>
          </w:tcPr>
          <w:p w14:paraId="33CE4602" w14:textId="77777777" w:rsidR="00C44183" w:rsidRDefault="003E11D8" w:rsidP="0086697D">
            <w:r>
              <w:lastRenderedPageBreak/>
              <w:t>Beskriv kortfattet:</w:t>
            </w:r>
          </w:p>
          <w:p w14:paraId="2DC779F1" w14:textId="23673E2E" w:rsidR="003E11D8" w:rsidRDefault="00C44183" w:rsidP="0086697D">
            <w:r>
              <w:t>Hilde Enserink og Anne Lebesby Høeg er ansatt i MSD Norge AS, som er leverandør for legemidlet Keytruda (pembrolizumab)</w:t>
            </w:r>
          </w:p>
        </w:tc>
      </w:tr>
    </w:tbl>
    <w:p w14:paraId="3D91699A" w14:textId="77777777" w:rsidR="00D1082E" w:rsidRDefault="00D1082E" w:rsidP="00C70E94"/>
    <w:sectPr w:rsidR="00D1082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DBFA" w14:textId="77777777" w:rsidR="00F56287" w:rsidRDefault="00F56287" w:rsidP="00CB7C65">
      <w:pPr>
        <w:spacing w:after="0" w:line="240" w:lineRule="auto"/>
      </w:pPr>
      <w:r>
        <w:separator/>
      </w:r>
    </w:p>
  </w:endnote>
  <w:endnote w:type="continuationSeparator" w:id="0">
    <w:p w14:paraId="3317712F" w14:textId="77777777" w:rsidR="00F56287" w:rsidRDefault="00F56287" w:rsidP="00CB7C65">
      <w:pPr>
        <w:spacing w:after="0" w:line="240" w:lineRule="auto"/>
      </w:pPr>
      <w:r>
        <w:continuationSeparator/>
      </w:r>
    </w:p>
  </w:endnote>
  <w:endnote w:type="continuationNotice" w:id="1">
    <w:p w14:paraId="1CF753A2" w14:textId="77777777" w:rsidR="00F56287" w:rsidRDefault="00F56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vention">
    <w:panose1 w:val="020B0503020008020204"/>
    <w:charset w:val="00"/>
    <w:family w:val="swiss"/>
    <w:pitch w:val="variable"/>
    <w:sig w:usb0="A000006F" w:usb1="4000004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86210"/>
      <w:docPartObj>
        <w:docPartGallery w:val="Page Numbers (Bottom of Page)"/>
        <w:docPartUnique/>
      </w:docPartObj>
    </w:sdtPr>
    <w:sdtEndPr/>
    <w:sdtContent>
      <w:sdt>
        <w:sdtPr>
          <w:id w:val="-1669238322"/>
          <w:docPartObj>
            <w:docPartGallery w:val="Page Numbers (Top of Page)"/>
            <w:docPartUnique/>
          </w:docPartObj>
        </w:sdtPr>
        <w:sdtEndPr/>
        <w:sdtContent>
          <w:p w14:paraId="016403AC" w14:textId="0F136606" w:rsidR="003E11D8" w:rsidRDefault="003E11D8">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6D3711">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D3711">
              <w:rPr>
                <w:b/>
                <w:bCs/>
                <w:noProof/>
              </w:rPr>
              <w:t>3</w:t>
            </w:r>
            <w:r>
              <w:rPr>
                <w:b/>
                <w:bCs/>
                <w:sz w:val="24"/>
                <w:szCs w:val="24"/>
              </w:rPr>
              <w:fldChar w:fldCharType="end"/>
            </w:r>
          </w:p>
        </w:sdtContent>
      </w:sdt>
    </w:sdtContent>
  </w:sdt>
  <w:p w14:paraId="74ED8CD6" w14:textId="77777777" w:rsidR="003E11D8" w:rsidRDefault="003E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7118F" w14:textId="77777777" w:rsidR="00F56287" w:rsidRDefault="00F56287" w:rsidP="00CB7C65">
      <w:pPr>
        <w:spacing w:after="0" w:line="240" w:lineRule="auto"/>
      </w:pPr>
      <w:r>
        <w:separator/>
      </w:r>
    </w:p>
  </w:footnote>
  <w:footnote w:type="continuationSeparator" w:id="0">
    <w:p w14:paraId="63A3401D" w14:textId="77777777" w:rsidR="00F56287" w:rsidRDefault="00F56287" w:rsidP="00CB7C65">
      <w:pPr>
        <w:spacing w:after="0" w:line="240" w:lineRule="auto"/>
      </w:pPr>
      <w:r>
        <w:continuationSeparator/>
      </w:r>
    </w:p>
  </w:footnote>
  <w:footnote w:type="continuationNotice" w:id="1">
    <w:p w14:paraId="01390746" w14:textId="77777777" w:rsidR="00F56287" w:rsidRDefault="00F56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4F3C" w14:textId="5391FF3E" w:rsidR="00CB7C65" w:rsidRDefault="00794E4B">
    <w:pPr>
      <w:pStyle w:val="Header"/>
    </w:pPr>
    <w:r>
      <w:rPr>
        <w:noProof/>
        <w:lang w:eastAsia="nb-NO"/>
      </w:rPr>
      <mc:AlternateContent>
        <mc:Choice Requires="wps">
          <w:drawing>
            <wp:anchor distT="0" distB="0" distL="114300" distR="114300" simplePos="0" relativeHeight="251658240" behindDoc="0" locked="0" layoutInCell="0" allowOverlap="1" wp14:anchorId="22F9D78D" wp14:editId="3CB08F35">
              <wp:simplePos x="0" y="0"/>
              <wp:positionH relativeFrom="page">
                <wp:posOffset>0</wp:posOffset>
              </wp:positionH>
              <wp:positionV relativeFrom="page">
                <wp:posOffset>190500</wp:posOffset>
              </wp:positionV>
              <wp:extent cx="7560310" cy="273050"/>
              <wp:effectExtent l="0" t="0" r="0" b="12700"/>
              <wp:wrapNone/>
              <wp:docPr id="1" name="MSIPCMd4d74da58a12d70b6aca181b" descr="{&quot;HashCode&quot;:146844239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C3454" w14:textId="02875753" w:rsidR="00794E4B" w:rsidRPr="00794E4B" w:rsidRDefault="00794E4B" w:rsidP="00794E4B">
                          <w:pPr>
                            <w:spacing w:after="0"/>
                            <w:rPr>
                              <w:rFonts w:ascii="Calibri" w:hAnsi="Calibri" w:cs="Calibri"/>
                              <w:color w:val="00B294"/>
                              <w:sz w:val="24"/>
                            </w:rPr>
                          </w:pPr>
                          <w:r w:rsidRPr="00794E4B">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F9D78D" id="_x0000_t202" coordsize="21600,21600" o:spt="202" path="m,l,21600r21600,l21600,xe">
              <v:stroke joinstyle="miter"/>
              <v:path gradientshapeok="t" o:connecttype="rect"/>
            </v:shapetype>
            <v:shape id="MSIPCMd4d74da58a12d70b6aca181b" o:spid="_x0000_s1026" type="#_x0000_t202" alt="{&quot;HashCode&quot;:146844239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ClwSCmwAgAARwUAAA4AAAAA&#10;AAAAAAAAAAAALgIAAGRycy9lMm9Eb2MueG1sUEsBAi0AFAAGAAgAAAAhAGkB3iPcAAAABwEAAA8A&#10;AAAAAAAAAAAAAAAACgUAAGRycy9kb3ducmV2LnhtbFBLBQYAAAAABAAEAPMAAAATBgAAAAA=&#10;" o:allowincell="f" filled="f" stroked="f" strokeweight=".5pt">
              <v:textbox inset="20pt,0,,0">
                <w:txbxContent>
                  <w:p w14:paraId="174C3454" w14:textId="02875753" w:rsidR="00794E4B" w:rsidRPr="00794E4B" w:rsidRDefault="00794E4B" w:rsidP="00794E4B">
                    <w:pPr>
                      <w:spacing w:after="0"/>
                      <w:rPr>
                        <w:rFonts w:ascii="Calibri" w:hAnsi="Calibri" w:cs="Calibri"/>
                        <w:color w:val="00B294"/>
                        <w:sz w:val="24"/>
                      </w:rPr>
                    </w:pPr>
                    <w:r w:rsidRPr="00794E4B">
                      <w:rPr>
                        <w:rFonts w:ascii="Calibri" w:hAnsi="Calibri" w:cs="Calibri"/>
                        <w:color w:val="00B294"/>
                        <w:sz w:val="24"/>
                      </w:rPr>
                      <w:t>Proprietary</w:t>
                    </w:r>
                  </w:p>
                </w:txbxContent>
              </v:textbox>
              <w10:wrap anchorx="page" anchory="page"/>
            </v:shape>
          </w:pict>
        </mc:Fallback>
      </mc:AlternateContent>
    </w:r>
    <w:r w:rsidR="004C0E4A" w:rsidRPr="004C0E4A">
      <w:rPr>
        <w:noProof/>
        <w:lang w:eastAsia="nb-NO"/>
      </w:rPr>
      <w:drawing>
        <wp:inline distT="0" distB="0" distL="0" distR="0" wp14:anchorId="072B9136" wp14:editId="2D6E794B">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C81243">
      <w:tab/>
    </w:r>
    <w:r w:rsidR="00C81243">
      <w:tab/>
      <w:t>v. 1.0 – 21.02.2020</w:t>
    </w:r>
  </w:p>
  <w:p w14:paraId="3CD38C23" w14:textId="77777777" w:rsidR="00CB7C65" w:rsidRDefault="00CB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ED0C32"/>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2" w15:restartNumberingAfterBreak="0">
    <w:nsid w:val="14537357"/>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3"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D274C6"/>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5" w15:restartNumberingAfterBreak="0">
    <w:nsid w:val="1CA94838"/>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6" w15:restartNumberingAfterBreak="0">
    <w:nsid w:val="1D283970"/>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7" w15:restartNumberingAfterBreak="0">
    <w:nsid w:val="20F74D19"/>
    <w:multiLevelType w:val="hybridMultilevel"/>
    <w:tmpl w:val="D6422F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F43FDD"/>
    <w:multiLevelType w:val="hybridMultilevel"/>
    <w:tmpl w:val="6C34A3E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359676C"/>
    <w:multiLevelType w:val="hybridMultilevel"/>
    <w:tmpl w:val="D6422F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77642C1"/>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13" w15:restartNumberingAfterBreak="0">
    <w:nsid w:val="4C4C3D52"/>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14" w15:restartNumberingAfterBreak="0">
    <w:nsid w:val="4D4630C7"/>
    <w:multiLevelType w:val="hybridMultilevel"/>
    <w:tmpl w:val="4ACA8A5A"/>
    <w:lvl w:ilvl="0" w:tplc="F2D458BA">
      <w:start w:val="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54A747D4"/>
    <w:multiLevelType w:val="hybridMultilevel"/>
    <w:tmpl w:val="C08EA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90E2EC9"/>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abstractNum w:abstractNumId="17" w15:restartNumberingAfterBreak="0">
    <w:nsid w:val="5C37730C"/>
    <w:multiLevelType w:val="hybridMultilevel"/>
    <w:tmpl w:val="AD6C9A60"/>
    <w:lvl w:ilvl="0" w:tplc="E6F29568">
      <w:start w:val="1"/>
      <w:numFmt w:val="decimal"/>
      <w:lvlText w:val="%1."/>
      <w:lvlJc w:val="left"/>
      <w:pPr>
        <w:ind w:left="720" w:hanging="360"/>
      </w:pPr>
    </w:lvl>
    <w:lvl w:ilvl="1" w:tplc="312E3590">
      <w:start w:val="1"/>
      <w:numFmt w:val="lowerLetter"/>
      <w:lvlText w:val="%2."/>
      <w:lvlJc w:val="left"/>
      <w:pPr>
        <w:ind w:left="1440" w:hanging="360"/>
      </w:pPr>
    </w:lvl>
    <w:lvl w:ilvl="2" w:tplc="4218E7B0">
      <w:start w:val="1"/>
      <w:numFmt w:val="lowerRoman"/>
      <w:lvlText w:val="%3."/>
      <w:lvlJc w:val="right"/>
      <w:pPr>
        <w:ind w:left="2160" w:hanging="180"/>
      </w:pPr>
    </w:lvl>
    <w:lvl w:ilvl="3" w:tplc="C82A9AEA">
      <w:start w:val="1"/>
      <w:numFmt w:val="decimal"/>
      <w:lvlText w:val="%4."/>
      <w:lvlJc w:val="left"/>
      <w:pPr>
        <w:ind w:left="2880" w:hanging="360"/>
      </w:pPr>
    </w:lvl>
    <w:lvl w:ilvl="4" w:tplc="B3A41E82">
      <w:start w:val="1"/>
      <w:numFmt w:val="lowerLetter"/>
      <w:lvlText w:val="%5."/>
      <w:lvlJc w:val="left"/>
      <w:pPr>
        <w:ind w:left="3600" w:hanging="360"/>
      </w:pPr>
    </w:lvl>
    <w:lvl w:ilvl="5" w:tplc="BBE03700">
      <w:start w:val="1"/>
      <w:numFmt w:val="lowerRoman"/>
      <w:lvlText w:val="%6."/>
      <w:lvlJc w:val="right"/>
      <w:pPr>
        <w:ind w:left="4320" w:hanging="180"/>
      </w:pPr>
    </w:lvl>
    <w:lvl w:ilvl="6" w:tplc="4F107C2A">
      <w:start w:val="1"/>
      <w:numFmt w:val="decimal"/>
      <w:lvlText w:val="%7."/>
      <w:lvlJc w:val="left"/>
      <w:pPr>
        <w:ind w:left="5040" w:hanging="360"/>
      </w:pPr>
    </w:lvl>
    <w:lvl w:ilvl="7" w:tplc="DC34699A">
      <w:start w:val="1"/>
      <w:numFmt w:val="lowerLetter"/>
      <w:lvlText w:val="%8."/>
      <w:lvlJc w:val="left"/>
      <w:pPr>
        <w:ind w:left="5760" w:hanging="360"/>
      </w:pPr>
    </w:lvl>
    <w:lvl w:ilvl="8" w:tplc="90CC501A">
      <w:start w:val="1"/>
      <w:numFmt w:val="lowerRoman"/>
      <w:lvlText w:val="%9."/>
      <w:lvlJc w:val="right"/>
      <w:pPr>
        <w:ind w:left="6480" w:hanging="180"/>
      </w:pPr>
    </w:lvl>
  </w:abstractNum>
  <w:abstractNum w:abstractNumId="18"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9" w15:restartNumberingAfterBreak="0">
    <w:nsid w:val="7C4B2EB6"/>
    <w:multiLevelType w:val="hybridMultilevel"/>
    <w:tmpl w:val="DD1624EA"/>
    <w:lvl w:ilvl="0" w:tplc="686099E2">
      <w:start w:val="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F7F0E19"/>
    <w:multiLevelType w:val="hybridMultilevel"/>
    <w:tmpl w:val="FFFFFFFF"/>
    <w:lvl w:ilvl="0" w:tplc="631E0500">
      <w:start w:val="1"/>
      <w:numFmt w:val="decimal"/>
      <w:lvlText w:val="%1."/>
      <w:lvlJc w:val="left"/>
      <w:pPr>
        <w:ind w:left="720" w:hanging="360"/>
      </w:pPr>
    </w:lvl>
    <w:lvl w:ilvl="1" w:tplc="4E0CA380">
      <w:start w:val="1"/>
      <w:numFmt w:val="lowerLetter"/>
      <w:lvlText w:val="%2."/>
      <w:lvlJc w:val="left"/>
      <w:pPr>
        <w:ind w:left="1440" w:hanging="360"/>
      </w:pPr>
    </w:lvl>
    <w:lvl w:ilvl="2" w:tplc="FE467048">
      <w:start w:val="1"/>
      <w:numFmt w:val="lowerRoman"/>
      <w:lvlText w:val="%3."/>
      <w:lvlJc w:val="right"/>
      <w:pPr>
        <w:ind w:left="2160" w:hanging="180"/>
      </w:pPr>
    </w:lvl>
    <w:lvl w:ilvl="3" w:tplc="063A4902">
      <w:start w:val="1"/>
      <w:numFmt w:val="decimal"/>
      <w:lvlText w:val="%4."/>
      <w:lvlJc w:val="left"/>
      <w:pPr>
        <w:ind w:left="2880" w:hanging="360"/>
      </w:pPr>
    </w:lvl>
    <w:lvl w:ilvl="4" w:tplc="356CB83A">
      <w:start w:val="1"/>
      <w:numFmt w:val="lowerLetter"/>
      <w:lvlText w:val="%5."/>
      <w:lvlJc w:val="left"/>
      <w:pPr>
        <w:ind w:left="3600" w:hanging="360"/>
      </w:pPr>
    </w:lvl>
    <w:lvl w:ilvl="5" w:tplc="16C0028E">
      <w:start w:val="1"/>
      <w:numFmt w:val="lowerRoman"/>
      <w:lvlText w:val="%6."/>
      <w:lvlJc w:val="right"/>
      <w:pPr>
        <w:ind w:left="4320" w:hanging="180"/>
      </w:pPr>
    </w:lvl>
    <w:lvl w:ilvl="6" w:tplc="685E3B4C">
      <w:start w:val="1"/>
      <w:numFmt w:val="decimal"/>
      <w:lvlText w:val="%7."/>
      <w:lvlJc w:val="left"/>
      <w:pPr>
        <w:ind w:left="5040" w:hanging="360"/>
      </w:pPr>
    </w:lvl>
    <w:lvl w:ilvl="7" w:tplc="29E6D6AA">
      <w:start w:val="1"/>
      <w:numFmt w:val="lowerLetter"/>
      <w:lvlText w:val="%8."/>
      <w:lvlJc w:val="left"/>
      <w:pPr>
        <w:ind w:left="5760" w:hanging="360"/>
      </w:pPr>
    </w:lvl>
    <w:lvl w:ilvl="8" w:tplc="E056F114">
      <w:start w:val="1"/>
      <w:numFmt w:val="lowerRoman"/>
      <w:lvlText w:val="%9."/>
      <w:lvlJc w:val="right"/>
      <w:pPr>
        <w:ind w:left="6480" w:hanging="180"/>
      </w:pPr>
    </w:lvl>
  </w:abstractNum>
  <w:num w:numId="1">
    <w:abstractNumId w:val="17"/>
  </w:num>
  <w:num w:numId="2">
    <w:abstractNumId w:val="10"/>
  </w:num>
  <w:num w:numId="3">
    <w:abstractNumId w:val="3"/>
  </w:num>
  <w:num w:numId="4">
    <w:abstractNumId w:val="9"/>
  </w:num>
  <w:num w:numId="5">
    <w:abstractNumId w:val="20"/>
  </w:num>
  <w:num w:numId="6">
    <w:abstractNumId w:val="0"/>
  </w:num>
  <w:num w:numId="7">
    <w:abstractNumId w:val="18"/>
  </w:num>
  <w:num w:numId="8">
    <w:abstractNumId w:val="19"/>
  </w:num>
  <w:num w:numId="9">
    <w:abstractNumId w:val="14"/>
  </w:num>
  <w:num w:numId="10">
    <w:abstractNumId w:val="15"/>
  </w:num>
  <w:num w:numId="11">
    <w:abstractNumId w:val="8"/>
  </w:num>
  <w:num w:numId="12">
    <w:abstractNumId w:val="2"/>
  </w:num>
  <w:num w:numId="13">
    <w:abstractNumId w:val="7"/>
  </w:num>
  <w:num w:numId="14">
    <w:abstractNumId w:val="11"/>
  </w:num>
  <w:num w:numId="15">
    <w:abstractNumId w:val="12"/>
  </w:num>
  <w:num w:numId="16">
    <w:abstractNumId w:val="16"/>
  </w:num>
  <w:num w:numId="17">
    <w:abstractNumId w:val="1"/>
  </w:num>
  <w:num w:numId="18">
    <w:abstractNumId w:val="13"/>
  </w:num>
  <w:num w:numId="19">
    <w:abstractNumId w:val="4"/>
  </w:num>
  <w:num w:numId="20">
    <w:abstractNumId w:val="5"/>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5"/>
    <w:rsid w:val="00022462"/>
    <w:rsid w:val="000418DD"/>
    <w:rsid w:val="00050590"/>
    <w:rsid w:val="00057B3D"/>
    <w:rsid w:val="00070268"/>
    <w:rsid w:val="00076738"/>
    <w:rsid w:val="00081E52"/>
    <w:rsid w:val="000B50DC"/>
    <w:rsid w:val="001143A3"/>
    <w:rsid w:val="00121B20"/>
    <w:rsid w:val="0012786B"/>
    <w:rsid w:val="00147095"/>
    <w:rsid w:val="00150E1E"/>
    <w:rsid w:val="00181BCB"/>
    <w:rsid w:val="00181E59"/>
    <w:rsid w:val="001959E5"/>
    <w:rsid w:val="002110AA"/>
    <w:rsid w:val="0025054C"/>
    <w:rsid w:val="00267B27"/>
    <w:rsid w:val="002879D8"/>
    <w:rsid w:val="002B2CCB"/>
    <w:rsid w:val="002B3123"/>
    <w:rsid w:val="002C1AD4"/>
    <w:rsid w:val="002C7275"/>
    <w:rsid w:val="002E4930"/>
    <w:rsid w:val="00333470"/>
    <w:rsid w:val="0038658A"/>
    <w:rsid w:val="003B5D37"/>
    <w:rsid w:val="003E11D8"/>
    <w:rsid w:val="00410304"/>
    <w:rsid w:val="0041337D"/>
    <w:rsid w:val="00426A30"/>
    <w:rsid w:val="00437184"/>
    <w:rsid w:val="004401B5"/>
    <w:rsid w:val="004428CC"/>
    <w:rsid w:val="00444F95"/>
    <w:rsid w:val="004538A4"/>
    <w:rsid w:val="004547C4"/>
    <w:rsid w:val="00482A88"/>
    <w:rsid w:val="004B303D"/>
    <w:rsid w:val="004C0E4A"/>
    <w:rsid w:val="004C5BF6"/>
    <w:rsid w:val="004D5DC9"/>
    <w:rsid w:val="005079D3"/>
    <w:rsid w:val="00523611"/>
    <w:rsid w:val="00530EF2"/>
    <w:rsid w:val="005313EB"/>
    <w:rsid w:val="005B0697"/>
    <w:rsid w:val="005D6B83"/>
    <w:rsid w:val="005E5846"/>
    <w:rsid w:val="00621A74"/>
    <w:rsid w:val="00643E8D"/>
    <w:rsid w:val="0065595D"/>
    <w:rsid w:val="00660FA5"/>
    <w:rsid w:val="00663E14"/>
    <w:rsid w:val="00685E46"/>
    <w:rsid w:val="006D3711"/>
    <w:rsid w:val="006D4A81"/>
    <w:rsid w:val="006F587A"/>
    <w:rsid w:val="006F6B4F"/>
    <w:rsid w:val="00702941"/>
    <w:rsid w:val="0073130B"/>
    <w:rsid w:val="00737847"/>
    <w:rsid w:val="007518EE"/>
    <w:rsid w:val="00755908"/>
    <w:rsid w:val="00756189"/>
    <w:rsid w:val="00757C28"/>
    <w:rsid w:val="00794E4B"/>
    <w:rsid w:val="007A4A9A"/>
    <w:rsid w:val="007D1FB0"/>
    <w:rsid w:val="00810846"/>
    <w:rsid w:val="008119D9"/>
    <w:rsid w:val="008120A9"/>
    <w:rsid w:val="00815484"/>
    <w:rsid w:val="00821413"/>
    <w:rsid w:val="00824EE7"/>
    <w:rsid w:val="008639F1"/>
    <w:rsid w:val="00885EFB"/>
    <w:rsid w:val="008B4F91"/>
    <w:rsid w:val="008B6D2F"/>
    <w:rsid w:val="008C3CB9"/>
    <w:rsid w:val="008F3592"/>
    <w:rsid w:val="008F4895"/>
    <w:rsid w:val="009002E9"/>
    <w:rsid w:val="0091218A"/>
    <w:rsid w:val="009520F3"/>
    <w:rsid w:val="00954523"/>
    <w:rsid w:val="00955918"/>
    <w:rsid w:val="0099736D"/>
    <w:rsid w:val="009A2711"/>
    <w:rsid w:val="009B5CE4"/>
    <w:rsid w:val="009C220B"/>
    <w:rsid w:val="009C40CB"/>
    <w:rsid w:val="00A04572"/>
    <w:rsid w:val="00A238FC"/>
    <w:rsid w:val="00A2476C"/>
    <w:rsid w:val="00A64189"/>
    <w:rsid w:val="00AA06AF"/>
    <w:rsid w:val="00AA40D5"/>
    <w:rsid w:val="00AA8ABD"/>
    <w:rsid w:val="00AB208F"/>
    <w:rsid w:val="00AB67DB"/>
    <w:rsid w:val="00AD1285"/>
    <w:rsid w:val="00AE48BC"/>
    <w:rsid w:val="00AE58D8"/>
    <w:rsid w:val="00AF44AB"/>
    <w:rsid w:val="00B04AEB"/>
    <w:rsid w:val="00B17578"/>
    <w:rsid w:val="00B55123"/>
    <w:rsid w:val="00B62381"/>
    <w:rsid w:val="00B80DEC"/>
    <w:rsid w:val="00B86A6E"/>
    <w:rsid w:val="00B86B26"/>
    <w:rsid w:val="00B97688"/>
    <w:rsid w:val="00BA5095"/>
    <w:rsid w:val="00BD0649"/>
    <w:rsid w:val="00C35183"/>
    <w:rsid w:val="00C354DD"/>
    <w:rsid w:val="00C44183"/>
    <w:rsid w:val="00C50CCD"/>
    <w:rsid w:val="00C61ECA"/>
    <w:rsid w:val="00C64B4F"/>
    <w:rsid w:val="00C65D3B"/>
    <w:rsid w:val="00C70E94"/>
    <w:rsid w:val="00C745AD"/>
    <w:rsid w:val="00C7693C"/>
    <w:rsid w:val="00C81243"/>
    <w:rsid w:val="00CB7C65"/>
    <w:rsid w:val="00CE205A"/>
    <w:rsid w:val="00CF6ADD"/>
    <w:rsid w:val="00D1082E"/>
    <w:rsid w:val="00D212E2"/>
    <w:rsid w:val="00D53539"/>
    <w:rsid w:val="00DA1BA2"/>
    <w:rsid w:val="00DA2091"/>
    <w:rsid w:val="00DB5230"/>
    <w:rsid w:val="00DC14F3"/>
    <w:rsid w:val="00DE5F93"/>
    <w:rsid w:val="00E10066"/>
    <w:rsid w:val="00E26CA0"/>
    <w:rsid w:val="00E37F39"/>
    <w:rsid w:val="00E41B2F"/>
    <w:rsid w:val="00E70E7E"/>
    <w:rsid w:val="00E74BFD"/>
    <w:rsid w:val="00E756D2"/>
    <w:rsid w:val="00E77824"/>
    <w:rsid w:val="00E83A05"/>
    <w:rsid w:val="00E97A62"/>
    <w:rsid w:val="00ED04FC"/>
    <w:rsid w:val="00EF0E5F"/>
    <w:rsid w:val="00EF2741"/>
    <w:rsid w:val="00F056A7"/>
    <w:rsid w:val="00F365A3"/>
    <w:rsid w:val="00F56287"/>
    <w:rsid w:val="00FC5AAC"/>
    <w:rsid w:val="00FF6046"/>
    <w:rsid w:val="016BFCF6"/>
    <w:rsid w:val="026F2457"/>
    <w:rsid w:val="0307CD57"/>
    <w:rsid w:val="031D24C2"/>
    <w:rsid w:val="0340A57D"/>
    <w:rsid w:val="03E22B7F"/>
    <w:rsid w:val="047448EB"/>
    <w:rsid w:val="04A39DB8"/>
    <w:rsid w:val="04BCC615"/>
    <w:rsid w:val="063F6E19"/>
    <w:rsid w:val="08898FFC"/>
    <w:rsid w:val="08ADAF1C"/>
    <w:rsid w:val="08B59CA2"/>
    <w:rsid w:val="0CAEAF9D"/>
    <w:rsid w:val="0CFBD00C"/>
    <w:rsid w:val="0D71C914"/>
    <w:rsid w:val="0DF5FB36"/>
    <w:rsid w:val="0E5BBAD5"/>
    <w:rsid w:val="114FD0E9"/>
    <w:rsid w:val="11935B97"/>
    <w:rsid w:val="12EC6D68"/>
    <w:rsid w:val="17FEB947"/>
    <w:rsid w:val="1A6790CD"/>
    <w:rsid w:val="1DE2F98E"/>
    <w:rsid w:val="1F390786"/>
    <w:rsid w:val="21F4A5CA"/>
    <w:rsid w:val="2296D485"/>
    <w:rsid w:val="25DCD09C"/>
    <w:rsid w:val="2AF327D6"/>
    <w:rsid w:val="2CF41F8E"/>
    <w:rsid w:val="2E2D8F95"/>
    <w:rsid w:val="2F6C9844"/>
    <w:rsid w:val="3013ACCF"/>
    <w:rsid w:val="30E3C532"/>
    <w:rsid w:val="32C2D9B0"/>
    <w:rsid w:val="3340EB64"/>
    <w:rsid w:val="347EE423"/>
    <w:rsid w:val="34FF3173"/>
    <w:rsid w:val="392A9528"/>
    <w:rsid w:val="3C37D2B6"/>
    <w:rsid w:val="3CA184FA"/>
    <w:rsid w:val="3EE38DF6"/>
    <w:rsid w:val="3FD4BC5B"/>
    <w:rsid w:val="46B94F92"/>
    <w:rsid w:val="472E752D"/>
    <w:rsid w:val="491655BE"/>
    <w:rsid w:val="4AB2261F"/>
    <w:rsid w:val="4DE9C6E1"/>
    <w:rsid w:val="51915299"/>
    <w:rsid w:val="520D3D10"/>
    <w:rsid w:val="52152A96"/>
    <w:rsid w:val="52763BED"/>
    <w:rsid w:val="569C95BC"/>
    <w:rsid w:val="5C790943"/>
    <w:rsid w:val="5C96A772"/>
    <w:rsid w:val="607655A2"/>
    <w:rsid w:val="60FF7328"/>
    <w:rsid w:val="6134E2D5"/>
    <w:rsid w:val="651793DD"/>
    <w:rsid w:val="654C8553"/>
    <w:rsid w:val="666BDE62"/>
    <w:rsid w:val="67A6CCF1"/>
    <w:rsid w:val="68816787"/>
    <w:rsid w:val="69F0029E"/>
    <w:rsid w:val="6A923831"/>
    <w:rsid w:val="6ADE6DB3"/>
    <w:rsid w:val="6B01287D"/>
    <w:rsid w:val="6D3A34B4"/>
    <w:rsid w:val="6D54D8AA"/>
    <w:rsid w:val="6D5CC630"/>
    <w:rsid w:val="6EF89691"/>
    <w:rsid w:val="708C796C"/>
    <w:rsid w:val="709466F2"/>
    <w:rsid w:val="70A5A1C9"/>
    <w:rsid w:val="716EC79D"/>
    <w:rsid w:val="723EE000"/>
    <w:rsid w:val="735DDE89"/>
    <w:rsid w:val="73CC07B4"/>
    <w:rsid w:val="74722501"/>
    <w:rsid w:val="748CBD28"/>
    <w:rsid w:val="76FBBAF0"/>
    <w:rsid w:val="7905CF33"/>
    <w:rsid w:val="7A335BB2"/>
    <w:rsid w:val="7A3B4938"/>
    <w:rsid w:val="7ADF8DEB"/>
    <w:rsid w:val="7B466A2B"/>
    <w:rsid w:val="7DFC9FC8"/>
    <w:rsid w:val="7E0B9122"/>
    <w:rsid w:val="7E4D8490"/>
    <w:rsid w:val="7FE954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92DF9"/>
  <w15:docId w15:val="{A10C1ADE-F395-4190-BBA4-7576603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A9"/>
  </w:style>
  <w:style w:type="paragraph" w:styleId="Heading1">
    <w:name w:val="heading 1"/>
    <w:basedOn w:val="Normal"/>
    <w:next w:val="Normal"/>
    <w:link w:val="Heading1Char"/>
    <w:uiPriority w:val="9"/>
    <w:qFormat/>
    <w:rsid w:val="003E1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E1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1Char">
    <w:name w:val="Heading 1 Char"/>
    <w:basedOn w:val="DefaultParagraphFont"/>
    <w:link w:val="Heading1"/>
    <w:uiPriority w:val="9"/>
    <w:rsid w:val="003E11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E11D8"/>
    <w:rPr>
      <w:rFonts w:asciiTheme="majorHAnsi" w:eastAsiaTheme="majorEastAsia" w:hAnsiTheme="majorHAnsi" w:cstheme="majorBidi"/>
      <w:b/>
      <w:bCs/>
      <w:color w:val="4F81BD" w:themeColor="accent1"/>
    </w:rPr>
  </w:style>
  <w:style w:type="table" w:styleId="TableGrid">
    <w:name w:val="Table Grid"/>
    <w:basedOn w:val="TableNormal"/>
    <w:uiPriority w:val="59"/>
    <w:rsid w:val="003E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1D8"/>
    <w:rPr>
      <w:strike w:val="0"/>
      <w:dstrike w:val="0"/>
      <w:color w:val="428BCA"/>
      <w:u w:val="none"/>
      <w:effect w:val="none"/>
    </w:rPr>
  </w:style>
  <w:style w:type="character" w:styleId="CommentReference">
    <w:name w:val="annotation reference"/>
    <w:basedOn w:val="DefaultParagraphFont"/>
    <w:uiPriority w:val="99"/>
    <w:semiHidden/>
    <w:unhideWhenUsed/>
    <w:rsid w:val="009C40CB"/>
    <w:rPr>
      <w:sz w:val="16"/>
      <w:szCs w:val="16"/>
    </w:rPr>
  </w:style>
  <w:style w:type="paragraph" w:styleId="CommentText">
    <w:name w:val="annotation text"/>
    <w:basedOn w:val="Normal"/>
    <w:link w:val="CommentTextChar"/>
    <w:uiPriority w:val="99"/>
    <w:semiHidden/>
    <w:unhideWhenUsed/>
    <w:rsid w:val="009C40CB"/>
    <w:pPr>
      <w:spacing w:line="240" w:lineRule="auto"/>
    </w:pPr>
    <w:rPr>
      <w:sz w:val="20"/>
      <w:szCs w:val="20"/>
    </w:rPr>
  </w:style>
  <w:style w:type="character" w:customStyle="1" w:styleId="CommentTextChar">
    <w:name w:val="Comment Text Char"/>
    <w:basedOn w:val="DefaultParagraphFont"/>
    <w:link w:val="CommentText"/>
    <w:uiPriority w:val="99"/>
    <w:semiHidden/>
    <w:rsid w:val="009C40CB"/>
    <w:rPr>
      <w:sz w:val="20"/>
      <w:szCs w:val="20"/>
    </w:rPr>
  </w:style>
  <w:style w:type="paragraph" w:styleId="CommentSubject">
    <w:name w:val="annotation subject"/>
    <w:basedOn w:val="CommentText"/>
    <w:next w:val="CommentText"/>
    <w:link w:val="CommentSubjectChar"/>
    <w:uiPriority w:val="99"/>
    <w:semiHidden/>
    <w:unhideWhenUsed/>
    <w:rsid w:val="009C40CB"/>
    <w:rPr>
      <w:b/>
      <w:bCs/>
    </w:rPr>
  </w:style>
  <w:style w:type="character" w:customStyle="1" w:styleId="CommentSubjectChar">
    <w:name w:val="Comment Subject Char"/>
    <w:basedOn w:val="CommentTextChar"/>
    <w:link w:val="CommentSubject"/>
    <w:uiPriority w:val="99"/>
    <w:semiHidden/>
    <w:rsid w:val="009C40CB"/>
    <w:rPr>
      <w:b/>
      <w:bCs/>
      <w:sz w:val="20"/>
      <w:szCs w:val="20"/>
    </w:rPr>
  </w:style>
  <w:style w:type="character" w:styleId="UnresolvedMention">
    <w:name w:val="Unresolved Mention"/>
    <w:basedOn w:val="DefaultParagraphFont"/>
    <w:uiPriority w:val="99"/>
    <w:semiHidden/>
    <w:unhideWhenUsed/>
    <w:rsid w:val="008F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9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nicaltrials.gov/ct2/show/NCT0268400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inglibrary.asco.org/record/197420/abstr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library.asco.org/record/197420/abs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_lebesbyhoeg@merck.com" TargetMode="External"/><Relationship Id="rId5" Type="http://schemas.openxmlformats.org/officeDocument/2006/relationships/styles" Target="styles.xml"/><Relationship Id="rId15" Type="http://schemas.openxmlformats.org/officeDocument/2006/relationships/hyperlink" Target="https://uroweb.org/guideline/renal-cell-carcinoma/" TargetMode="External"/><Relationship Id="rId10" Type="http://schemas.openxmlformats.org/officeDocument/2006/relationships/hyperlink" Target="mailto:nyemetoder@helse-sorost.n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mo.org/guidelines/genitourinary-cancers/renal-cell-carcinoma/eupdate-renal-cell-carcinoma-treatment-recommendations-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89F15-D63B-4392-A2FE-9F1F746AE080}"/>
</file>

<file path=customXml/itemProps2.xml><?xml version="1.0" encoding="utf-8"?>
<ds:datastoreItem xmlns:ds="http://schemas.openxmlformats.org/officeDocument/2006/customXml" ds:itemID="{AA358C23-B55C-4406-9F54-0BF92E8F5F15}"/>
</file>

<file path=customXml/itemProps3.xml><?xml version="1.0" encoding="utf-8"?>
<ds:datastoreItem xmlns:ds="http://schemas.openxmlformats.org/officeDocument/2006/customXml" ds:itemID="{337620BF-17D6-4000-AEE7-805D3CC1369B}"/>
</file>

<file path=docProps/app.xml><?xml version="1.0" encoding="utf-8"?>
<Properties xmlns="http://schemas.openxmlformats.org/officeDocument/2006/extended-properties" xmlns:vt="http://schemas.openxmlformats.org/officeDocument/2006/docPropsVTypes">
  <Template>Normal.dotm</Template>
  <TotalTime>1</TotalTime>
  <Pages>6</Pages>
  <Words>1976</Words>
  <Characters>10476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Helsedirektoratet</Company>
  <LinksUpToDate>false</LinksUpToDate>
  <CharactersWithSpaces>12428</CharactersWithSpaces>
  <SharedDoc>false</SharedDoc>
  <HLinks>
    <vt:vector size="30" baseType="variant">
      <vt:variant>
        <vt:i4>6619174</vt:i4>
      </vt:variant>
      <vt:variant>
        <vt:i4>12</vt:i4>
      </vt:variant>
      <vt:variant>
        <vt:i4>0</vt:i4>
      </vt:variant>
      <vt:variant>
        <vt:i4>5</vt:i4>
      </vt:variant>
      <vt:variant>
        <vt:lpwstr>https://uroweb.org/guideline/renal-cell-carcinoma/</vt:lpwstr>
      </vt:variant>
      <vt:variant>
        <vt:lpwstr/>
      </vt:variant>
      <vt:variant>
        <vt:i4>2949178</vt:i4>
      </vt:variant>
      <vt:variant>
        <vt:i4>9</vt:i4>
      </vt:variant>
      <vt:variant>
        <vt:i4>0</vt:i4>
      </vt:variant>
      <vt:variant>
        <vt:i4>5</vt:i4>
      </vt:variant>
      <vt:variant>
        <vt:lpwstr>https://www.esmo.org/guidelines/genitourinary-cancers/renal-cell-carcinoma/eupdate-renal-cell-carcinoma-treatment-recommendations-3</vt:lpwstr>
      </vt:variant>
      <vt:variant>
        <vt:lpwstr/>
      </vt:variant>
      <vt:variant>
        <vt:i4>8323175</vt:i4>
      </vt:variant>
      <vt:variant>
        <vt:i4>6</vt:i4>
      </vt:variant>
      <vt:variant>
        <vt:i4>0</vt:i4>
      </vt:variant>
      <vt:variant>
        <vt:i4>5</vt:i4>
      </vt:variant>
      <vt:variant>
        <vt:lpwstr>https://meetinglibrary.asco.org/record/197420/abstract</vt:lpwstr>
      </vt:variant>
      <vt:variant>
        <vt:lpwstr/>
      </vt:variant>
      <vt:variant>
        <vt:i4>5898330</vt:i4>
      </vt:variant>
      <vt:variant>
        <vt:i4>3</vt:i4>
      </vt:variant>
      <vt:variant>
        <vt:i4>0</vt:i4>
      </vt:variant>
      <vt:variant>
        <vt:i4>5</vt:i4>
      </vt:variant>
      <vt:variant>
        <vt:lpwstr>mailto:Anne_lebesbyhoeg@merck.com</vt:lpwstr>
      </vt:variant>
      <vt:variant>
        <vt:lpwstr/>
      </vt:variant>
      <vt:variant>
        <vt:i4>6750209</vt:i4>
      </vt:variant>
      <vt:variant>
        <vt:i4>0</vt:i4>
      </vt:variant>
      <vt:variant>
        <vt:i4>0</vt:i4>
      </vt:variant>
      <vt:variant>
        <vt:i4>5</vt:i4>
      </vt:variant>
      <vt:variant>
        <vt:lpwstr>mailto:nyemetoder@helse-sorost.no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Høeg, Anne Lebesby</cp:lastModifiedBy>
  <cp:revision>2</cp:revision>
  <cp:lastPrinted>2022-02-01T09:00:00Z</cp:lastPrinted>
  <dcterms:created xsi:type="dcterms:W3CDTF">2022-02-01T12:32:00Z</dcterms:created>
  <dcterms:modified xsi:type="dcterms:W3CDTF">2022-02-01T12:32:00Z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y fmtid="{D5CDD505-2E9C-101B-9397-08002B2CF9AE}" pid="3" name="MSIP_Label_927fd646-07cb-4c4e-a107-4e4d6b30ba1b_Enabled">
    <vt:lpwstr>true</vt:lpwstr>
  </property>
  <property fmtid="{D5CDD505-2E9C-101B-9397-08002B2CF9AE}" pid="4" name="MSIP_Label_927fd646-07cb-4c4e-a107-4e4d6b30ba1b_SetDate">
    <vt:lpwstr>2022-01-31T10:20:33Z</vt:lpwstr>
  </property>
  <property fmtid="{D5CDD505-2E9C-101B-9397-08002B2CF9AE}" pid="5" name="MSIP_Label_927fd646-07cb-4c4e-a107-4e4d6b30ba1b_Method">
    <vt:lpwstr>Privileged</vt:lpwstr>
  </property>
  <property fmtid="{D5CDD505-2E9C-101B-9397-08002B2CF9AE}" pid="6" name="MSIP_Label_927fd646-07cb-4c4e-a107-4e4d6b30ba1b_Name">
    <vt:lpwstr>927fd646-07cb-4c4e-a107-4e4d6b30ba1b</vt:lpwstr>
  </property>
  <property fmtid="{D5CDD505-2E9C-101B-9397-08002B2CF9AE}" pid="7" name="MSIP_Label_927fd646-07cb-4c4e-a107-4e4d6b30ba1b_SiteId">
    <vt:lpwstr>a00de4ec-48a8-43a6-be74-e31274e2060d</vt:lpwstr>
  </property>
  <property fmtid="{D5CDD505-2E9C-101B-9397-08002B2CF9AE}" pid="8" name="MSIP_Label_927fd646-07cb-4c4e-a107-4e4d6b30ba1b_ActionId">
    <vt:lpwstr>52a419b9-75b2-41fb-8be4-163fb1be6c73</vt:lpwstr>
  </property>
  <property fmtid="{D5CDD505-2E9C-101B-9397-08002B2CF9AE}" pid="9" name="MSIP_Label_927fd646-07cb-4c4e-a107-4e4d6b30ba1b_ContentBits">
    <vt:lpwstr>1</vt:lpwstr>
  </property>
  <property fmtid="{D5CDD505-2E9C-101B-9397-08002B2CF9AE}" pid="10" name="MerckAIPLabel">
    <vt:lpwstr>Proprietary</vt:lpwstr>
  </property>
  <property fmtid="{D5CDD505-2E9C-101B-9397-08002B2CF9AE}" pid="11" name="MerckAIPDataExchange">
    <vt:lpwstr>!MRKMIP@Proprietary</vt:lpwstr>
  </property>
  <property fmtid="{D5CDD505-2E9C-101B-9397-08002B2CF9AE}" pid="12" name="_AdHocReviewCycleID">
    <vt:i4>1200841062</vt:i4>
  </property>
  <property fmtid="{D5CDD505-2E9C-101B-9397-08002B2CF9AE}" pid="13" name="_NewReviewCycle">
    <vt:lpwstr/>
  </property>
  <property fmtid="{D5CDD505-2E9C-101B-9397-08002B2CF9AE}" pid="14" name="_EmailSubject">
    <vt:lpwstr>Innspill ID2022_003    Nå uten markups  - og nå med avkrysninger i begynnelsen</vt:lpwstr>
  </property>
  <property fmtid="{D5CDD505-2E9C-101B-9397-08002B2CF9AE}" pid="15" name="_AuthorEmail">
    <vt:lpwstr>anne.lebesbyhoeg@merck.com</vt:lpwstr>
  </property>
  <property fmtid="{D5CDD505-2E9C-101B-9397-08002B2CF9AE}" pid="16" name="_AuthorEmailDisplayName">
    <vt:lpwstr>Høeg, Anne Lebesby</vt:lpwstr>
  </property>
</Properties>
</file>