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Heading1Char"/>
          <w:color w:val="auto"/>
        </w:rPr>
        <w:t>Nye metoder: Innspill til</w:t>
      </w:r>
      <w:r w:rsidR="003E11D8" w:rsidRPr="00815484">
        <w:rPr>
          <w:rStyle w:val="Heading1Char"/>
          <w:color w:val="auto"/>
        </w:rPr>
        <w:t xml:space="preserve"> </w:t>
      </w:r>
      <w:r w:rsidR="002E4930">
        <w:rPr>
          <w:rStyle w:val="Heading1Char"/>
          <w:color w:val="auto"/>
        </w:rPr>
        <w:t>metoder (</w:t>
      </w:r>
      <w:r w:rsidR="003E11D8" w:rsidRPr="00815484">
        <w:rPr>
          <w:rStyle w:val="Heading1Char"/>
          <w:rFonts w:asciiTheme="minorHAnsi" w:hAnsiTheme="minorHAnsi"/>
          <w:color w:val="auto"/>
        </w:rPr>
        <w:t>forslag</w:t>
      </w:r>
      <w:r w:rsidR="003E11D8" w:rsidRPr="00815484">
        <w:rPr>
          <w:rStyle w:val="Heading1Char"/>
          <w:color w:val="auto"/>
        </w:rPr>
        <w:t>/metodevarsler</w:t>
      </w:r>
      <w:r w:rsidR="002E4930">
        <w:rPr>
          <w:rStyle w:val="Heading1Char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Bestillerforum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link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4C03B82C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2B64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70E2D151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2DF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A66BB8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A66BB8">
        <w:tc>
          <w:tcPr>
            <w:tcW w:w="4077" w:type="dxa"/>
          </w:tcPr>
          <w:p w14:paraId="2149829E" w14:textId="77777777" w:rsidR="003E11D8" w:rsidRDefault="003E11D8" w:rsidP="00A66BB8">
            <w:r>
              <w:t>Metodens ID nummer*:</w:t>
            </w:r>
          </w:p>
        </w:tc>
        <w:tc>
          <w:tcPr>
            <w:tcW w:w="4678" w:type="dxa"/>
          </w:tcPr>
          <w:p w14:paraId="1C24BB2C" w14:textId="04CC8BDA" w:rsidR="006F6B4F" w:rsidRDefault="0025658B" w:rsidP="00A66BB8">
            <w:r w:rsidRPr="0025658B">
              <w:t>ID2021_066</w:t>
            </w:r>
          </w:p>
        </w:tc>
      </w:tr>
      <w:tr w:rsidR="003E11D8" w14:paraId="4951779C" w14:textId="77777777" w:rsidTr="00A66BB8">
        <w:tc>
          <w:tcPr>
            <w:tcW w:w="4077" w:type="dxa"/>
          </w:tcPr>
          <w:p w14:paraId="0A95CDA1" w14:textId="54C561C0" w:rsidR="003E11D8" w:rsidRDefault="003E11D8" w:rsidP="00A66BB8">
            <w:r>
              <w:t>Metodens tittel:</w:t>
            </w:r>
            <w:r w:rsidR="00D37D0E">
              <w:t xml:space="preserve"> </w:t>
            </w:r>
          </w:p>
        </w:tc>
        <w:tc>
          <w:tcPr>
            <w:tcW w:w="4678" w:type="dxa"/>
          </w:tcPr>
          <w:p w14:paraId="2FFE495E" w14:textId="2D943465" w:rsidR="006F6B4F" w:rsidRDefault="00D37D0E" w:rsidP="00A66BB8">
            <w:r w:rsidRPr="00D37D0E">
              <w:t>Lorlatinib (Lorviqa) til behandling av voksne pasienter med ALK-positiv avansert ikke-småcellet lungekreft (NSCLC) som ikke tidligere er behandlet med en ALK-hemmer.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A66BB8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Heading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985851" w14:paraId="3B1C4A5C" w14:textId="77777777" w:rsidTr="00A66BB8">
        <w:tc>
          <w:tcPr>
            <w:tcW w:w="4077" w:type="dxa"/>
          </w:tcPr>
          <w:p w14:paraId="00040E2B" w14:textId="77777777" w:rsidR="00985851" w:rsidRDefault="00985851" w:rsidP="00985851">
            <w:r>
              <w:t xml:space="preserve">Navn </w:t>
            </w:r>
          </w:p>
        </w:tc>
        <w:tc>
          <w:tcPr>
            <w:tcW w:w="4678" w:type="dxa"/>
          </w:tcPr>
          <w:p w14:paraId="36A034F4" w14:textId="48CDA1A4" w:rsidR="00985851" w:rsidRDefault="00985851" w:rsidP="00985851">
            <w:r>
              <w:t>Maria Kvamme</w:t>
            </w:r>
          </w:p>
        </w:tc>
      </w:tr>
      <w:tr w:rsidR="00985851" w14:paraId="09E926A0" w14:textId="77777777" w:rsidTr="00A66BB8">
        <w:tc>
          <w:tcPr>
            <w:tcW w:w="4077" w:type="dxa"/>
          </w:tcPr>
          <w:p w14:paraId="475D8B54" w14:textId="77777777" w:rsidR="00985851" w:rsidRDefault="00985851" w:rsidP="00985851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13BEF330" w:rsidR="00985851" w:rsidRDefault="00985851" w:rsidP="00985851">
            <w:r>
              <w:t>Pfizer</w:t>
            </w:r>
          </w:p>
        </w:tc>
      </w:tr>
      <w:tr w:rsidR="00985851" w14:paraId="1BB2B375" w14:textId="77777777" w:rsidTr="00A66BB8">
        <w:tc>
          <w:tcPr>
            <w:tcW w:w="4077" w:type="dxa"/>
          </w:tcPr>
          <w:p w14:paraId="507B8E55" w14:textId="77777777" w:rsidR="00985851" w:rsidRDefault="00985851" w:rsidP="00985851">
            <w:r>
              <w:t>Kontaktinformasjon (e-post / telefon)</w:t>
            </w:r>
          </w:p>
        </w:tc>
        <w:tc>
          <w:tcPr>
            <w:tcW w:w="4678" w:type="dxa"/>
          </w:tcPr>
          <w:p w14:paraId="2F103449" w14:textId="1F842D6A" w:rsidR="00985851" w:rsidRDefault="00541935" w:rsidP="00985851">
            <w:hyperlink r:id="rId11" w:history="1">
              <w:r w:rsidR="00985851" w:rsidRPr="00D6586E">
                <w:rPr>
                  <w:rStyle w:val="Hyperlink"/>
                </w:rPr>
                <w:t>Maria.kvamme@pfizer.com</w:t>
              </w:r>
            </w:hyperlink>
            <w:r w:rsidR="00985851">
              <w:t xml:space="preserve"> / 93083221</w:t>
            </w:r>
          </w:p>
        </w:tc>
      </w:tr>
    </w:tbl>
    <w:p w14:paraId="319B484D" w14:textId="77777777" w:rsidR="003E11D8" w:rsidRPr="00D1082E" w:rsidRDefault="003E11D8" w:rsidP="0091218A">
      <w:pPr>
        <w:pStyle w:val="Heading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73FA7EB2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73FA7EB2">
        <w:trPr>
          <w:trHeight w:val="512"/>
        </w:trPr>
        <w:tc>
          <w:tcPr>
            <w:tcW w:w="8784" w:type="dxa"/>
          </w:tcPr>
          <w:p w14:paraId="0EDCF70F" w14:textId="165167B6" w:rsidR="00A52E2B" w:rsidRDefault="00A52E2B" w:rsidP="00A52E2B">
            <w:r>
              <w:t>Lorlatinib virker ved å hemme anaplastisk lymfom kinase (ALK) og ROS1 reseptor tyrosin kinaser og på den måten indusere celledød og hindre økt vekst av kreftceller. Den nye metoden er rettet mot ALK-positiv ikke-småcellet lungekreft</w:t>
            </w:r>
            <w:r w:rsidR="00E96D51">
              <w:t xml:space="preserve"> (NSCLC)</w:t>
            </w:r>
            <w:r>
              <w:t>, og vil være førstelinjebehandling. Lorlatinib fikk innvilget refusjon i andre- og senere linjer fra 15.januar 2021.</w:t>
            </w:r>
          </w:p>
          <w:p w14:paraId="0494CC0E" w14:textId="3BCF822C" w:rsidR="00664463" w:rsidRDefault="00AB5EF1" w:rsidP="003E11D8">
            <w:r>
              <w:t xml:space="preserve">Vi foreslår </w:t>
            </w:r>
            <w:r w:rsidR="009A2447">
              <w:t>løp B – relativ effektvurdering</w:t>
            </w:r>
            <w:r w:rsidR="006D156B">
              <w:t xml:space="preserve"> mot alektinib eller brigatinib</w:t>
            </w:r>
            <w:r w:rsidR="009A2447">
              <w:t xml:space="preserve">. </w:t>
            </w:r>
          </w:p>
          <w:p w14:paraId="29F923FF" w14:textId="0B2E2885" w:rsidR="001E4CC1" w:rsidRDefault="00664463" w:rsidP="003E11D8">
            <w:r>
              <w:t>Begrunnelse</w:t>
            </w:r>
            <w:r w:rsidR="00382090">
              <w:t>: A</w:t>
            </w:r>
            <w:r w:rsidR="009A2447">
              <w:t>lektinib er SoC i førstelinjebehandling for ALK-positive NSCLC pasienter i</w:t>
            </w:r>
            <w:r w:rsidR="00D2472A">
              <w:t xml:space="preserve"> </w:t>
            </w:r>
            <w:r w:rsidR="009A2447">
              <w:t>dag.</w:t>
            </w:r>
            <w:r w:rsidR="00240DC2">
              <w:t xml:space="preserve"> </w:t>
            </w:r>
            <w:r w:rsidR="006D156B">
              <w:t>B</w:t>
            </w:r>
            <w:r w:rsidR="00372C21">
              <w:t xml:space="preserve">rigatinib (Alunbrig) </w:t>
            </w:r>
            <w:r w:rsidR="00F31BB3">
              <w:t xml:space="preserve">ble </w:t>
            </w:r>
            <w:r w:rsidR="00372C21">
              <w:t>innført til førstelinjebehandling av ALK-positiv avansert NSCLC</w:t>
            </w:r>
            <w:r w:rsidR="00E96D51">
              <w:t xml:space="preserve"> </w:t>
            </w:r>
            <w:r w:rsidR="008D7CE4">
              <w:t>15.02.2021</w:t>
            </w:r>
            <w:r w:rsidR="00CF13B0">
              <w:t>. Det ble gjort en relativ effek</w:t>
            </w:r>
            <w:r w:rsidR="00F31BB3">
              <w:t>t</w:t>
            </w:r>
            <w:r w:rsidR="00CF13B0">
              <w:t xml:space="preserve">vurdering </w:t>
            </w:r>
            <w:r w:rsidR="00F31BB3">
              <w:t xml:space="preserve">i løp B for brigatinib </w:t>
            </w:r>
            <w:r w:rsidR="00CF13B0">
              <w:t xml:space="preserve">mot </w:t>
            </w:r>
            <w:r w:rsidR="00830D44">
              <w:t xml:space="preserve">alektinib. </w:t>
            </w:r>
          </w:p>
          <w:p w14:paraId="44ADABCF" w14:textId="3A201C14" w:rsidR="009A2447" w:rsidRDefault="009A2447" w:rsidP="003E11D8">
            <w:r w:rsidRPr="009A2447">
              <w:t>I fase III studien (CROWN) ble lorlatinib sammenlignet med crizotinib. I forhold til dagens behandling i Norge bør det gjøres en indirekte sammenligning mot alektinib</w:t>
            </w:r>
            <w:r w:rsidR="001E4CC1">
              <w:t xml:space="preserve"> eller brigatinib</w:t>
            </w:r>
            <w:r w:rsidRPr="009A2447">
              <w:t>.</w:t>
            </w:r>
            <w:r w:rsidR="00E93F1C">
              <w:t xml:space="preserve"> </w:t>
            </w:r>
          </w:p>
          <w:p w14:paraId="33BDEA52" w14:textId="56384597" w:rsidR="008639F1" w:rsidRDefault="00FB5738" w:rsidP="003E11D8">
            <w:r w:rsidRPr="00FB5738">
              <w:lastRenderedPageBreak/>
              <w:t>Ingen eller minimal budsjettvirkning</w:t>
            </w:r>
            <w:r w:rsidR="001E4CC1">
              <w:t xml:space="preserve"> er forventet.</w:t>
            </w:r>
            <w:r w:rsidRPr="00FB5738">
              <w:t xml:space="preserve"> Budsjettvirkning </w:t>
            </w:r>
            <w:r w:rsidR="0090302C">
              <w:t xml:space="preserve">eller kostnadseffektivitetsanalyse </w:t>
            </w:r>
            <w:r w:rsidRPr="00FB5738">
              <w:t>er ikke inkludert i løp B.</w:t>
            </w:r>
            <w:r w:rsidR="007E4678">
              <w:t xml:space="preserve"> Løp B vil spare ressurser</w:t>
            </w:r>
            <w:r w:rsidR="00B13EFD">
              <w:t xml:space="preserve"> og tid</w:t>
            </w:r>
            <w:r w:rsidR="007E4678">
              <w:t xml:space="preserve"> </w:t>
            </w:r>
            <w:r w:rsidR="00913734">
              <w:t>med tanke på</w:t>
            </w:r>
            <w:r w:rsidR="007E4678">
              <w:t xml:space="preserve"> å </w:t>
            </w:r>
            <w:r w:rsidR="00913734">
              <w:t>utarbeide</w:t>
            </w:r>
            <w:r w:rsidR="007E4678">
              <w:t xml:space="preserve"> en kostnadseffektivitetsanalyse og en budsjett</w:t>
            </w:r>
            <w:r w:rsidR="002032CE">
              <w:t>analyse for både firma og Statens Legemiddelverk.</w:t>
            </w:r>
          </w:p>
        </w:tc>
      </w:tr>
    </w:tbl>
    <w:p w14:paraId="44BA2640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37F83A09" w14:textId="23799B8B" w:rsidR="00C354DD" w:rsidRDefault="00C354DD" w:rsidP="003E11D8">
      <w:pPr>
        <w:rPr>
          <w:b/>
        </w:rPr>
      </w:pPr>
      <w:r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>*PICO er et verktøy for å formulere presise problemstillinger i metodevurderingsarbeid. PICO er en forkortelse for Population/Problem – Intervention – Comparison – Outcome.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73FA7EB2">
        <w:tc>
          <w:tcPr>
            <w:tcW w:w="8784" w:type="dxa"/>
          </w:tcPr>
          <w:p w14:paraId="48D74076" w14:textId="2223CAC0" w:rsidR="003E11D8" w:rsidRDefault="00702941" w:rsidP="00D1082E">
            <w:pPr>
              <w:pStyle w:val="Heading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73FA7EB2">
        <w:trPr>
          <w:trHeight w:val="859"/>
        </w:trPr>
        <w:tc>
          <w:tcPr>
            <w:tcW w:w="8784" w:type="dxa"/>
          </w:tcPr>
          <w:p w14:paraId="7BCAED96" w14:textId="0B547585" w:rsidR="009D584D" w:rsidRDefault="005079D3" w:rsidP="00A66BB8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  <w:r w:rsidR="0098422C">
              <w:t xml:space="preserve"> Ja</w:t>
            </w:r>
            <w:r w:rsidR="00BC0608">
              <w:t xml:space="preserve">, </w:t>
            </w:r>
            <w:r w:rsidR="009D584D">
              <w:t>l</w:t>
            </w:r>
            <w:r w:rsidR="00B80FDF" w:rsidRPr="00B80FDF">
              <w:t xml:space="preserve">orlatinib (Lorviqua) </w:t>
            </w:r>
            <w:r w:rsidR="009D584D">
              <w:t>er innført</w:t>
            </w:r>
            <w:r w:rsidR="00B80FDF" w:rsidRPr="00B80FDF">
              <w:t xml:space="preserve"> til behandling av ALK-positiv avansert ikke-småcellet lungekreft (NSCLC) i andre – eller senere behandlingslinjer</w:t>
            </w:r>
            <w:r w:rsidR="0021167A">
              <w:t>.</w:t>
            </w:r>
          </w:p>
          <w:p w14:paraId="69F80893" w14:textId="51065A81" w:rsidR="003E11D8" w:rsidRDefault="005079D3" w:rsidP="00A66BB8">
            <w:r>
              <w:t>Fra hvilket tidspunkt har den</w:t>
            </w:r>
            <w:r w:rsidR="003E11D8">
              <w:t xml:space="preserve"> vært i bruk:</w:t>
            </w:r>
            <w:r w:rsidR="00DE7FC2">
              <w:t xml:space="preserve"> 15.januar 2021</w:t>
            </w:r>
          </w:p>
          <w:p w14:paraId="6B6DD5AD" w14:textId="65B5E233" w:rsidR="003E11D8" w:rsidRDefault="00C81243" w:rsidP="00A66BB8">
            <w:r>
              <w:t>Hvor er eventuelt metoden</w:t>
            </w:r>
            <w:r w:rsidR="005079D3">
              <w:t xml:space="preserve"> i bruk:</w:t>
            </w:r>
            <w:r w:rsidR="00092CAC">
              <w:t xml:space="preserve"> </w:t>
            </w:r>
            <w:r w:rsidR="006650D0">
              <w:t xml:space="preserve">Den er godkjent for refusjon av Beslutningsforum </w:t>
            </w:r>
            <w:r w:rsidR="00104CC3">
              <w:t>fra 15.januar i samtlige RHF.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Heading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4A476C41" w14:textId="5B06E843" w:rsidR="00643E8D" w:rsidRDefault="00E10066" w:rsidP="002133B0">
            <w:r>
              <w:t>B</w:t>
            </w:r>
            <w:r w:rsidR="00643E8D">
              <w:t>eskriv kortfattet:</w:t>
            </w:r>
            <w:r w:rsidR="005D509C">
              <w:t xml:space="preserve"> </w:t>
            </w:r>
            <w:r w:rsidR="005D509C" w:rsidRPr="005D509C">
              <w:t>Pasientpopulasjonen vil være voksne med ALK-positiv, avansert NSCLC. Legemiddelverket har vurdert at 54 pasienter vil bruke Alecensa (alectinib) til førstelinjebehandling av ALK-positiv avansert NSCLC istedenfor Xalkori (crizotinib)</w:t>
            </w:r>
            <w:r w:rsidR="00DB56E1">
              <w:t xml:space="preserve"> </w:t>
            </w:r>
            <w:r w:rsidR="00DB56E1" w:rsidRPr="00DB56E1">
              <w:t>https://nyemetoder.no/Documents/Rapporter/Alectinib%20-%20hurtig%20metodevurdering.pdf</w:t>
            </w:r>
            <w:r w:rsidR="005D509C" w:rsidRPr="005D509C">
              <w:t>. Ifølge reseptregisteret ble 55 pasienter behandlet med alectinib (Alecensa) i 2019</w:t>
            </w:r>
            <w:r w:rsidR="002133B0">
              <w:t>.</w:t>
            </w:r>
          </w:p>
        </w:tc>
      </w:tr>
    </w:tbl>
    <w:p w14:paraId="4438F0FD" w14:textId="77777777" w:rsidR="00702941" w:rsidRDefault="007029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73FA7EB2">
        <w:tc>
          <w:tcPr>
            <w:tcW w:w="8613" w:type="dxa"/>
          </w:tcPr>
          <w:p w14:paraId="1E209B8C" w14:textId="0DC26343" w:rsidR="003E11D8" w:rsidRDefault="00702941" w:rsidP="0091218A">
            <w:pPr>
              <w:pStyle w:val="Heading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73FA7EB2">
        <w:trPr>
          <w:trHeight w:val="406"/>
        </w:trPr>
        <w:tc>
          <w:tcPr>
            <w:tcW w:w="8613" w:type="dxa"/>
          </w:tcPr>
          <w:p w14:paraId="4AD6CA18" w14:textId="230546C8" w:rsidR="0091218A" w:rsidRDefault="00E10066" w:rsidP="00C61ECA">
            <w:r>
              <w:t>B</w:t>
            </w:r>
            <w:r w:rsidR="003E11D8">
              <w:t>eskriv kortfattet:</w:t>
            </w:r>
            <w:r w:rsidR="00B36484">
              <w:t xml:space="preserve"> Alektinib er SoC i førstelinjebehandling for ALK-positive NSCLC pasienter i dag. Brigatinib (Alunbrig) ble innført til førstelinjebehandling av ALK-positiv avansert NSCLC 15.02.2021. Det ble gjort en relativ effektvurdering i løp B for brigatinib mot alektinib. </w:t>
            </w:r>
          </w:p>
        </w:tc>
      </w:tr>
    </w:tbl>
    <w:p w14:paraId="70F4CB22" w14:textId="0A7470A3" w:rsidR="00C354DD" w:rsidRDefault="00C35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73FA7EB2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73FA7EB2">
        <w:trPr>
          <w:trHeight w:val="501"/>
        </w:trPr>
        <w:tc>
          <w:tcPr>
            <w:tcW w:w="8613" w:type="dxa"/>
          </w:tcPr>
          <w:p w14:paraId="31478978" w14:textId="77777777" w:rsidR="00976439" w:rsidRDefault="002B3123" w:rsidP="008652C3">
            <w:r>
              <w:t xml:space="preserve">Hva kan oppfattes som en fordel for pasienter og brukere med denne metoden sammenlignet med aktuelle alternativer? Hvilke endepunkter/resultater av behandlingen er det aktuelt å måle? </w:t>
            </w:r>
            <w:r w:rsidR="008B4F91">
              <w:t>Beskriv kortfattet:</w:t>
            </w:r>
          </w:p>
          <w:p w14:paraId="01E52F28" w14:textId="1319E728" w:rsidR="004708D2" w:rsidRDefault="004708D2" w:rsidP="004708D2">
            <w:r>
              <w:lastRenderedPageBreak/>
              <w:t>Fra Crown studien (Phase III; ClinicalTrials.gov no.: NCT03052608): Andelen pasienter som var i live uten sykdomsprogresjon etter 12 måneder var 78% (95% konfidensintervall [KI], 70 til 84) i lorlatinib-gruppen og 39% (95% KI, 30 til 48) i crizotinib-gruppen (hazard ratio for sykdomsprogresjon eller død, 0,28; 95% KI, 0,19 til 0,41; P &lt;0,001). En objektiv respons forekom i 76% (95% KI, 68 til 83) av pasientene i lorlatinib-gruppen og 58% (95% KI, 49 til 66) av de i crizotinib-gruppen; blant de med målbare hjernemetastaser hadde henholdsvis 82% (95% KI, 57 til 96) og 23% (95% KI, 5 til 54) intrakraniell respons, og 71% av pasientene som fikk lorlatinib hadde en intrakraniell komplett respons</w:t>
            </w:r>
            <w:r w:rsidR="0066795C">
              <w:t>.</w:t>
            </w:r>
          </w:p>
          <w:p w14:paraId="3D37D8D1" w14:textId="46691B66" w:rsidR="002B3123" w:rsidRDefault="008652C3" w:rsidP="00643E8D">
            <w:r>
              <w:t xml:space="preserve">O=Primærmål fra </w:t>
            </w:r>
            <w:r w:rsidR="000B3FE9">
              <w:t xml:space="preserve">CROWN </w:t>
            </w:r>
            <w:r>
              <w:t>Progresjonsfri overlevelse vurdert av en uavhengig blindet komite. Sekundærmål: Objektiv responsrate (ORR) og intrakraniell responsrate (ICORR).</w:t>
            </w:r>
          </w:p>
        </w:tc>
      </w:tr>
    </w:tbl>
    <w:p w14:paraId="5C17607C" w14:textId="77777777" w:rsidR="00643E8D" w:rsidRDefault="00643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50CBD101" w:rsidR="002B3123" w:rsidRPr="00671092" w:rsidRDefault="002B3123" w:rsidP="002B3123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</w:p>
          <w:p w14:paraId="0C8B17B7" w14:textId="1F9FDBBD" w:rsidR="00821413" w:rsidRPr="00671092" w:rsidRDefault="00146930" w:rsidP="00A66BB8">
            <w:r>
              <w:t>Se k</w:t>
            </w:r>
            <w:r w:rsidRPr="00146930">
              <w:t>ommentar fra FHI ved Companion Diagnostics</w:t>
            </w:r>
            <w:r>
              <w:t xml:space="preserve"> i </w:t>
            </w:r>
            <w:r w:rsidR="00983A84" w:rsidRPr="00983A84">
              <w:t>Metodevarsel LM035_2021</w:t>
            </w:r>
            <w:r w:rsidR="00983A84">
              <w:t>.</w:t>
            </w:r>
          </w:p>
        </w:tc>
      </w:tr>
    </w:tbl>
    <w:p w14:paraId="21692557" w14:textId="77777777" w:rsidR="003E11D8" w:rsidRDefault="003E11D8" w:rsidP="003E1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175D4949" w:rsidR="005079D3" w:rsidRDefault="002B3123" w:rsidP="00A66BB8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</w:p>
          <w:p w14:paraId="0ADFF3A9" w14:textId="6BCAC218" w:rsidR="009C40CB" w:rsidRDefault="007832A2" w:rsidP="00A66BB8">
            <w:r w:rsidRPr="007832A2">
              <w:t>Metoden har foreløpig ikke MT i Norge eller EU, men er under vurdering hos det Europeiske Legemiddelbyrået (EMA).</w:t>
            </w:r>
            <w:r w:rsidR="00482936">
              <w:t xml:space="preserve"> </w:t>
            </w:r>
            <w:r w:rsidR="00482936" w:rsidRPr="00482936">
              <w:t>US Food and Drug Administration (FDA) godkjente metoden i USA i mars 2021</w:t>
            </w:r>
            <w:r w:rsidR="00482936">
              <w:t>.</w:t>
            </w:r>
          </w:p>
        </w:tc>
      </w:tr>
    </w:tbl>
    <w:p w14:paraId="4ADCED26" w14:textId="77777777" w:rsidR="00C354DD" w:rsidRDefault="00C35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A66BB8">
        <w:tc>
          <w:tcPr>
            <w:tcW w:w="8613" w:type="dxa"/>
          </w:tcPr>
          <w:p w14:paraId="1882A0C0" w14:textId="489CB5D9" w:rsidR="003E11D8" w:rsidRDefault="00B17578" w:rsidP="00821413">
            <w:pPr>
              <w:pStyle w:val="Heading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19963E59" w14:textId="77777777" w:rsidR="003E11D8" w:rsidRDefault="003E11D8" w:rsidP="00A66BB8"/>
          <w:p w14:paraId="0F5430D2" w14:textId="77777777" w:rsidR="00D53539" w:rsidRDefault="00D53539" w:rsidP="00A66BB8"/>
          <w:p w14:paraId="579DA931" w14:textId="77777777" w:rsidR="00D53539" w:rsidRDefault="00D53539" w:rsidP="00A66BB8"/>
          <w:p w14:paraId="31C3211C" w14:textId="7ED1F47F" w:rsidR="00D53539" w:rsidRDefault="00D53539" w:rsidP="00A66BB8"/>
        </w:tc>
      </w:tr>
    </w:tbl>
    <w:p w14:paraId="541B1D8A" w14:textId="77777777" w:rsidR="006F6B4F" w:rsidRDefault="006F6B4F" w:rsidP="003E1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73FA7EB2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73FA7EB2">
        <w:trPr>
          <w:trHeight w:val="1041"/>
        </w:trPr>
        <w:tc>
          <w:tcPr>
            <w:tcW w:w="8613" w:type="dxa"/>
          </w:tcPr>
          <w:p w14:paraId="6FBE72CE" w14:textId="72463293" w:rsidR="007858D8" w:rsidRDefault="003E11D8" w:rsidP="007858D8">
            <w:r>
              <w:t>Beskriv kortfattet:</w:t>
            </w:r>
            <w:r w:rsidR="007858D8">
              <w:t xml:space="preserve"> </w:t>
            </w:r>
            <w:r w:rsidR="000E4241">
              <w:t>Pfizer har økonomisk interesse i saken.</w:t>
            </w:r>
          </w:p>
          <w:p w14:paraId="2DC779F1" w14:textId="784732C8" w:rsidR="003E11D8" w:rsidRDefault="003E11D8" w:rsidP="00A66BB8"/>
        </w:tc>
      </w:tr>
    </w:tbl>
    <w:p w14:paraId="3D91699A" w14:textId="77777777" w:rsidR="00D1082E" w:rsidRDefault="00D1082E" w:rsidP="00C70E94"/>
    <w:sectPr w:rsidR="00D108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A524B" w14:textId="77777777" w:rsidR="00541935" w:rsidRDefault="00541935" w:rsidP="00CB7C65">
      <w:pPr>
        <w:spacing w:after="0" w:line="240" w:lineRule="auto"/>
      </w:pPr>
      <w:r>
        <w:separator/>
      </w:r>
    </w:p>
  </w:endnote>
  <w:endnote w:type="continuationSeparator" w:id="0">
    <w:p w14:paraId="3F0D041B" w14:textId="77777777" w:rsidR="00541935" w:rsidRDefault="00541935" w:rsidP="00CB7C65">
      <w:pPr>
        <w:spacing w:after="0" w:line="240" w:lineRule="auto"/>
      </w:pPr>
      <w:r>
        <w:continuationSeparator/>
      </w:r>
    </w:p>
  </w:endnote>
  <w:endnote w:type="continuationNotice" w:id="1">
    <w:p w14:paraId="0A78F23B" w14:textId="77777777" w:rsidR="00541935" w:rsidRDefault="00541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0F136606" w:rsidR="003E11D8" w:rsidRDefault="003E11D8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A0760" w14:textId="77777777" w:rsidR="00541935" w:rsidRDefault="00541935" w:rsidP="00CB7C65">
      <w:pPr>
        <w:spacing w:after="0" w:line="240" w:lineRule="auto"/>
      </w:pPr>
      <w:r>
        <w:separator/>
      </w:r>
    </w:p>
  </w:footnote>
  <w:footnote w:type="continuationSeparator" w:id="0">
    <w:p w14:paraId="30FA81DB" w14:textId="77777777" w:rsidR="00541935" w:rsidRDefault="00541935" w:rsidP="00CB7C65">
      <w:pPr>
        <w:spacing w:after="0" w:line="240" w:lineRule="auto"/>
      </w:pPr>
      <w:r>
        <w:continuationSeparator/>
      </w:r>
    </w:p>
  </w:footnote>
  <w:footnote w:type="continuationNotice" w:id="1">
    <w:p w14:paraId="642A4372" w14:textId="77777777" w:rsidR="00541935" w:rsidRDefault="00541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34F3C" w14:textId="6EF503FE" w:rsidR="00CB7C65" w:rsidRDefault="004C0E4A">
    <w:pPr>
      <w:pStyle w:val="Header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</w:r>
    <w:r w:rsidR="73FA7EB2">
      <w:t>v. 1.0 – 21.02.2020</w:t>
    </w:r>
  </w:p>
  <w:p w14:paraId="3CD38C23" w14:textId="77777777" w:rsidR="00CB7C65" w:rsidRDefault="00CB7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5"/>
    <w:rsid w:val="00022462"/>
    <w:rsid w:val="00050590"/>
    <w:rsid w:val="00057B3D"/>
    <w:rsid w:val="00076738"/>
    <w:rsid w:val="00092CAC"/>
    <w:rsid w:val="000B3FE9"/>
    <w:rsid w:val="000B50DC"/>
    <w:rsid w:val="000E4241"/>
    <w:rsid w:val="000E74F2"/>
    <w:rsid w:val="00104CC3"/>
    <w:rsid w:val="001143A3"/>
    <w:rsid w:val="00146930"/>
    <w:rsid w:val="00175A32"/>
    <w:rsid w:val="001959E5"/>
    <w:rsid w:val="001C43E3"/>
    <w:rsid w:val="001D0390"/>
    <w:rsid w:val="001E4CC1"/>
    <w:rsid w:val="001E555B"/>
    <w:rsid w:val="002032CE"/>
    <w:rsid w:val="0021167A"/>
    <w:rsid w:val="002133B0"/>
    <w:rsid w:val="00240DC2"/>
    <w:rsid w:val="0025054C"/>
    <w:rsid w:val="0025658B"/>
    <w:rsid w:val="00267B27"/>
    <w:rsid w:val="002879D8"/>
    <w:rsid w:val="002B3123"/>
    <w:rsid w:val="002C7275"/>
    <w:rsid w:val="002E4930"/>
    <w:rsid w:val="00333470"/>
    <w:rsid w:val="00363167"/>
    <w:rsid w:val="00372C21"/>
    <w:rsid w:val="00382090"/>
    <w:rsid w:val="0038658A"/>
    <w:rsid w:val="003A2B16"/>
    <w:rsid w:val="003E11D8"/>
    <w:rsid w:val="00426A30"/>
    <w:rsid w:val="00444F95"/>
    <w:rsid w:val="004538A4"/>
    <w:rsid w:val="004708D2"/>
    <w:rsid w:val="00482936"/>
    <w:rsid w:val="00482A88"/>
    <w:rsid w:val="00490894"/>
    <w:rsid w:val="004B303D"/>
    <w:rsid w:val="004C0E4A"/>
    <w:rsid w:val="004C5BF6"/>
    <w:rsid w:val="004C79E8"/>
    <w:rsid w:val="004D5DC9"/>
    <w:rsid w:val="004F23D5"/>
    <w:rsid w:val="005079D3"/>
    <w:rsid w:val="00530EF2"/>
    <w:rsid w:val="00541935"/>
    <w:rsid w:val="005D509C"/>
    <w:rsid w:val="0061722B"/>
    <w:rsid w:val="00621A74"/>
    <w:rsid w:val="00643E8D"/>
    <w:rsid w:val="0065595D"/>
    <w:rsid w:val="00657D4C"/>
    <w:rsid w:val="00663E14"/>
    <w:rsid w:val="00664463"/>
    <w:rsid w:val="006650D0"/>
    <w:rsid w:val="0066795C"/>
    <w:rsid w:val="006D156B"/>
    <w:rsid w:val="006D3711"/>
    <w:rsid w:val="006F6B4F"/>
    <w:rsid w:val="00702941"/>
    <w:rsid w:val="00756189"/>
    <w:rsid w:val="007832A2"/>
    <w:rsid w:val="007858D8"/>
    <w:rsid w:val="007A39BE"/>
    <w:rsid w:val="007A4A9A"/>
    <w:rsid w:val="007D1C16"/>
    <w:rsid w:val="007E4678"/>
    <w:rsid w:val="00810846"/>
    <w:rsid w:val="00815484"/>
    <w:rsid w:val="00821413"/>
    <w:rsid w:val="00825412"/>
    <w:rsid w:val="00830D44"/>
    <w:rsid w:val="008639F1"/>
    <w:rsid w:val="008652C3"/>
    <w:rsid w:val="00885EFB"/>
    <w:rsid w:val="008B4F91"/>
    <w:rsid w:val="008B6D2F"/>
    <w:rsid w:val="008C12B6"/>
    <w:rsid w:val="008D7CE4"/>
    <w:rsid w:val="0090302C"/>
    <w:rsid w:val="0091218A"/>
    <w:rsid w:val="00913734"/>
    <w:rsid w:val="009520F3"/>
    <w:rsid w:val="00954523"/>
    <w:rsid w:val="00955918"/>
    <w:rsid w:val="00976439"/>
    <w:rsid w:val="00983A84"/>
    <w:rsid w:val="0098422C"/>
    <w:rsid w:val="00985851"/>
    <w:rsid w:val="009A2447"/>
    <w:rsid w:val="009A2711"/>
    <w:rsid w:val="009B1F9C"/>
    <w:rsid w:val="009C220B"/>
    <w:rsid w:val="009C40CB"/>
    <w:rsid w:val="009D584D"/>
    <w:rsid w:val="00A04572"/>
    <w:rsid w:val="00A238FC"/>
    <w:rsid w:val="00A2476C"/>
    <w:rsid w:val="00A52E2B"/>
    <w:rsid w:val="00A64189"/>
    <w:rsid w:val="00A66BB8"/>
    <w:rsid w:val="00AA06AF"/>
    <w:rsid w:val="00AA40D5"/>
    <w:rsid w:val="00AB5EF1"/>
    <w:rsid w:val="00AD640A"/>
    <w:rsid w:val="00AE58D8"/>
    <w:rsid w:val="00B122DF"/>
    <w:rsid w:val="00B13EFD"/>
    <w:rsid w:val="00B17578"/>
    <w:rsid w:val="00B36484"/>
    <w:rsid w:val="00B55123"/>
    <w:rsid w:val="00B62381"/>
    <w:rsid w:val="00B80FDF"/>
    <w:rsid w:val="00B83A2C"/>
    <w:rsid w:val="00B86A6E"/>
    <w:rsid w:val="00B86B26"/>
    <w:rsid w:val="00B97688"/>
    <w:rsid w:val="00BA5095"/>
    <w:rsid w:val="00BC0608"/>
    <w:rsid w:val="00C354DD"/>
    <w:rsid w:val="00C61ECA"/>
    <w:rsid w:val="00C70E94"/>
    <w:rsid w:val="00C745AD"/>
    <w:rsid w:val="00C81243"/>
    <w:rsid w:val="00C8625A"/>
    <w:rsid w:val="00C946C0"/>
    <w:rsid w:val="00CB7C65"/>
    <w:rsid w:val="00CE205A"/>
    <w:rsid w:val="00CF13B0"/>
    <w:rsid w:val="00CF2B64"/>
    <w:rsid w:val="00D1082E"/>
    <w:rsid w:val="00D2472A"/>
    <w:rsid w:val="00D3702F"/>
    <w:rsid w:val="00D37D0E"/>
    <w:rsid w:val="00D53539"/>
    <w:rsid w:val="00DA2091"/>
    <w:rsid w:val="00DB5230"/>
    <w:rsid w:val="00DB56E1"/>
    <w:rsid w:val="00DE7FC2"/>
    <w:rsid w:val="00E10066"/>
    <w:rsid w:val="00E36F68"/>
    <w:rsid w:val="00E41B2F"/>
    <w:rsid w:val="00E83A05"/>
    <w:rsid w:val="00E93F1C"/>
    <w:rsid w:val="00E96D51"/>
    <w:rsid w:val="00EF2741"/>
    <w:rsid w:val="00F31BB3"/>
    <w:rsid w:val="00FB5738"/>
    <w:rsid w:val="00FF4583"/>
    <w:rsid w:val="00FF6046"/>
    <w:rsid w:val="3A69487C"/>
    <w:rsid w:val="73F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92DF9"/>
  <w15:docId w15:val="{F16BB8D7-3BDC-4CCA-8621-2F1D4B5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8"/>
  </w:style>
  <w:style w:type="paragraph" w:styleId="Heading1">
    <w:name w:val="heading 1"/>
    <w:basedOn w:val="Normal"/>
    <w:next w:val="Normal"/>
    <w:link w:val="Heading1Char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65"/>
  </w:style>
  <w:style w:type="paragraph" w:styleId="Footer">
    <w:name w:val="footer"/>
    <w:basedOn w:val="Normal"/>
    <w:link w:val="FooterChar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65"/>
  </w:style>
  <w:style w:type="paragraph" w:styleId="BalloonText">
    <w:name w:val="Balloon Text"/>
    <w:basedOn w:val="Normal"/>
    <w:link w:val="BalloonTextChar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5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5A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.kvamme@pfiz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9FF7D2-8553-45F1-9BA0-636F800CDA2C}"/>
</file>

<file path=customXml/itemProps2.xml><?xml version="1.0" encoding="utf-8"?>
<ds:datastoreItem xmlns:ds="http://schemas.openxmlformats.org/officeDocument/2006/customXml" ds:itemID="{337620BF-17D6-4000-AEE7-805D3CC1369B}"/>
</file>

<file path=customXml/itemProps3.xml><?xml version="1.0" encoding="utf-8"?>
<ds:datastoreItem xmlns:ds="http://schemas.openxmlformats.org/officeDocument/2006/customXml" ds:itemID="{AA358C23-B55C-4406-9F54-0BF92E8F5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1105</Words>
  <Characters>5857</Characters>
  <Application>Microsoft Office Word</Application>
  <DocSecurity>0</DocSecurity>
  <Lines>48</Lines>
  <Paragraphs>13</Paragraphs>
  <ScaleCrop>false</ScaleCrop>
  <Company>Helsedirektoratet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Skilhagen Thormodsen</dc:creator>
  <cp:keywords/>
  <cp:lastModifiedBy>Kvamme, Maria</cp:lastModifiedBy>
  <cp:revision>73</cp:revision>
  <cp:lastPrinted>2019-11-28T20:53:00Z</cp:lastPrinted>
  <dcterms:created xsi:type="dcterms:W3CDTF">2021-05-10T19:44:00Z</dcterms:created>
  <dcterms:modified xsi:type="dcterms:W3CDTF">2021-05-10T17:12:00Z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