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419955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1DE1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1DE1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:rsidTr="00176DA4">
        <w:tc>
          <w:tcPr>
            <w:tcW w:w="4077" w:type="dxa"/>
          </w:tcPr>
          <w:p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:rsidR="006B7A0F" w:rsidRDefault="00F41DE1" w:rsidP="00176DA4">
            <w:r>
              <w:t>Haakon Lindekleiv</w:t>
            </w:r>
          </w:p>
        </w:tc>
      </w:tr>
      <w:tr w:rsidR="006B7A0F" w:rsidTr="00176DA4">
        <w:tc>
          <w:tcPr>
            <w:tcW w:w="4077" w:type="dxa"/>
          </w:tcPr>
          <w:p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:rsidR="006B7A0F" w:rsidRDefault="00F41DE1" w:rsidP="00176DA4">
            <w:r>
              <w:t>Universitetssykehuset i Nord-Norge</w:t>
            </w:r>
          </w:p>
        </w:tc>
      </w:tr>
      <w:tr w:rsidR="006B7A0F" w:rsidTr="00176DA4">
        <w:tc>
          <w:tcPr>
            <w:tcW w:w="4077" w:type="dxa"/>
          </w:tcPr>
          <w:p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:rsidR="006B7A0F" w:rsidRDefault="00F7127A" w:rsidP="00176DA4">
            <w:r>
              <w:t>h</w:t>
            </w:r>
            <w:r w:rsidR="00F41DE1">
              <w:t>aakon.lindekleiv@unn.no</w:t>
            </w:r>
          </w:p>
        </w:tc>
      </w:tr>
      <w:tr w:rsidR="00E800B1" w:rsidTr="00176DA4">
        <w:tc>
          <w:tcPr>
            <w:tcW w:w="4077" w:type="dxa"/>
          </w:tcPr>
          <w:p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:rsidR="00E800B1" w:rsidRDefault="00F7127A" w:rsidP="00E800B1">
            <w:r>
              <w:t>3.9.21</w:t>
            </w:r>
            <w:r w:rsidR="00B82558">
              <w:t xml:space="preserve"> (oppdatert pkt. 4 den 09.09.2021)</w:t>
            </w:r>
          </w:p>
        </w:tc>
      </w:tr>
    </w:tbl>
    <w:p w:rsidR="006B7A0F" w:rsidRPr="006B7A0F" w:rsidRDefault="006B7A0F" w:rsidP="006B7A0F"/>
    <w:p w:rsidR="00766CFC" w:rsidRDefault="00766CFC" w:rsidP="00766CFC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E502D9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Saksdokumentenes opplysninger om pris er unntatt offentlighet, jf. </w:t>
      </w:r>
      <w:proofErr w:type="spellStart"/>
      <w:r w:rsidRPr="00E502D9">
        <w:rPr>
          <w:rFonts w:asciiTheme="majorHAnsi" w:eastAsiaTheme="majorEastAsia" w:hAnsiTheme="majorHAnsi" w:cstheme="majorBidi"/>
          <w:b/>
          <w:bCs/>
          <w:sz w:val="26"/>
          <w:szCs w:val="26"/>
        </w:rPr>
        <w:t>offl</w:t>
      </w:r>
      <w:proofErr w:type="spellEnd"/>
      <w:r w:rsidRPr="00E502D9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§ 13 jf. </w:t>
      </w:r>
      <w:proofErr w:type="spellStart"/>
      <w:r w:rsidRPr="00E502D9">
        <w:rPr>
          <w:rFonts w:asciiTheme="majorHAnsi" w:eastAsiaTheme="majorEastAsia" w:hAnsiTheme="majorHAnsi" w:cstheme="majorBidi"/>
          <w:b/>
          <w:bCs/>
          <w:sz w:val="26"/>
          <w:szCs w:val="26"/>
        </w:rPr>
        <w:t>fvl</w:t>
      </w:r>
      <w:proofErr w:type="spellEnd"/>
      <w:r w:rsidRPr="00E502D9">
        <w:rPr>
          <w:rFonts w:asciiTheme="majorHAnsi" w:eastAsiaTheme="majorEastAsia" w:hAnsiTheme="majorHAnsi" w:cstheme="majorBidi"/>
          <w:b/>
          <w:bCs/>
          <w:sz w:val="26"/>
          <w:szCs w:val="26"/>
        </w:rPr>
        <w:t>. § 13, 1. ledd nr. 2</w:t>
      </w:r>
    </w:p>
    <w:p w:rsidR="00766CFC" w:rsidRDefault="00766CFC" w:rsidP="00766CFC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GoBack"/>
      <w:bookmarkEnd w:id="0"/>
    </w:p>
    <w:p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29279A" w:rsidP="00EA5C1A">
                            <w:proofErr w:type="spellStart"/>
                            <w:r>
                              <w:t>Olaparib</w:t>
                            </w:r>
                            <w:proofErr w:type="spellEnd"/>
                            <w:r>
                              <w:t xml:space="preserve"> for </w:t>
                            </w:r>
                            <w:proofErr w:type="spellStart"/>
                            <w:r>
                              <w:t>adjuvant</w:t>
                            </w:r>
                            <w:proofErr w:type="spellEnd"/>
                            <w:r>
                              <w:t xml:space="preserve"> behandling av BRCA1/2-mutert, HER2-negativ brystkreft</w:t>
                            </w:r>
                            <w:r w:rsidR="00472613">
                              <w:t xml:space="preserve"> etter gjennomført lokalbehandling inkludert stråling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:rsidR="00EA5C1A" w:rsidRDefault="0029279A" w:rsidP="00EA5C1A">
                      <w:proofErr w:type="spellStart"/>
                      <w:r>
                        <w:t>Olaparib</w:t>
                      </w:r>
                      <w:proofErr w:type="spellEnd"/>
                      <w:r>
                        <w:t xml:space="preserve"> for </w:t>
                      </w:r>
                      <w:proofErr w:type="spellStart"/>
                      <w:r>
                        <w:t>adjuvant</w:t>
                      </w:r>
                      <w:proofErr w:type="spellEnd"/>
                      <w:r>
                        <w:t xml:space="preserve"> behandling av BRCA1/2-mutert, HER2-negativ brystkreft</w:t>
                      </w:r>
                      <w:r w:rsidR="00472613">
                        <w:t xml:space="preserve"> etter gjennomført lokalbehandling inkludert stråling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lastRenderedPageBreak/>
        <w:t>Kort beskrivelse av metoden som foreslås vurdert:</w:t>
      </w:r>
      <w:r w:rsidRPr="00610E89">
        <w:rPr>
          <w:u w:val="single"/>
        </w:rPr>
        <w:t xml:space="preserve"> 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4CF28314">
                <wp:extent cx="5400000" cy="1724025"/>
                <wp:effectExtent l="0" t="0" r="10795" b="2857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520" w:rsidRDefault="000E1038" w:rsidP="00EA5C1A">
                            <w:r>
                              <w:t xml:space="preserve">Metoden innebærer </w:t>
                            </w:r>
                            <w:r w:rsidR="00245940">
                              <w:t>behandling etter protokoll som i</w:t>
                            </w:r>
                            <w:r w:rsidR="001F2520">
                              <w:t xml:space="preserve"> </w:t>
                            </w:r>
                            <w:proofErr w:type="spellStart"/>
                            <w:r w:rsidR="001F2520">
                              <w:t>OlympiA</w:t>
                            </w:r>
                            <w:proofErr w:type="spellEnd"/>
                            <w:r w:rsidR="001F2520">
                              <w:t>-studien</w:t>
                            </w:r>
                            <w:r w:rsidR="0006205E">
                              <w:t>*</w:t>
                            </w:r>
                            <w:r w:rsidR="001F2520">
                              <w:t xml:space="preserve">: </w:t>
                            </w:r>
                          </w:p>
                          <w:p w:rsidR="001F2520" w:rsidRDefault="000E1038" w:rsidP="001F2520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olaparib</w:t>
                            </w:r>
                            <w:proofErr w:type="spellEnd"/>
                            <w:r>
                              <w:t xml:space="preserve"> tabletter i doseringen 300 mg x 2 </w:t>
                            </w:r>
                            <w:r w:rsidR="0006205E">
                              <w:t xml:space="preserve">gis </w:t>
                            </w:r>
                            <w:r>
                              <w:t>i ett år etter gjennomført standard behandling</w:t>
                            </w:r>
                          </w:p>
                          <w:p w:rsidR="00EA5C1A" w:rsidRDefault="001F2520" w:rsidP="001F2520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oppfølging: fysisk undersøkelse hver 4.uke i 24 uker, så hver 3.måned ut år 2, så hver 6.måned til utgangen av år 5, deretter årlig. Årlig mammografi, MR eller begge deler</w:t>
                            </w:r>
                          </w:p>
                          <w:p w:rsidR="0006205E" w:rsidRPr="0006205E" w:rsidRDefault="0006205E" w:rsidP="0006205E">
                            <w:pPr>
                              <w:shd w:val="clear" w:color="auto" w:fill="FFFFFF"/>
                              <w:spacing w:after="0"/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t xml:space="preserve">*Tutt ANJ, </w:t>
                            </w:r>
                            <w:proofErr w:type="spellStart"/>
                            <w:r>
                              <w:t>Garber</w:t>
                            </w:r>
                            <w:proofErr w:type="spellEnd"/>
                            <w:r>
                              <w:t xml:space="preserve"> JE et al. </w:t>
                            </w:r>
                            <w:r w:rsidRPr="00F7127A">
                              <w:rPr>
                                <w:lang w:val="en-US"/>
                              </w:rPr>
                              <w:t xml:space="preserve">Adjuvant </w:t>
                            </w: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olaparib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for patients with BRCA1- </w:t>
                            </w:r>
                            <w:proofErr w:type="spellStart"/>
                            <w:proofErr w:type="gramStart"/>
                            <w:r w:rsidRPr="00F7127A">
                              <w:rPr>
                                <w:lang w:val="en-US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7127A">
                              <w:rPr>
                                <w:lang w:val="en-US"/>
                              </w:rPr>
                              <w:t xml:space="preserve"> BRCA2-mutated breast cancer. </w:t>
                            </w:r>
                            <w:hyperlink r:id="rId12" w:history="1">
                              <w:r w:rsidRPr="0006205E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eastAsia="nb-NO"/>
                                </w:rPr>
                                <w:t xml:space="preserve">N </w:t>
                              </w:r>
                              <w:proofErr w:type="spellStart"/>
                              <w:r w:rsidRPr="0006205E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eastAsia="nb-NO"/>
                                </w:rPr>
                                <w:t>Engl</w:t>
                              </w:r>
                              <w:proofErr w:type="spellEnd"/>
                              <w:r w:rsidRPr="0006205E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eastAsia="nb-NO"/>
                                </w:rPr>
                                <w:t xml:space="preserve"> J Med 2021; 384 (25): 2394-2405</w:t>
                              </w:r>
                            </w:hyperlink>
                            <w:r w:rsidRPr="0006205E">
                              <w:rPr>
                                <w:rFonts w:eastAsia="Times New Roman" w:cstheme="minorHAnsi"/>
                                <w:i/>
                                <w:color w:val="5B616B"/>
                                <w:lang w:eastAsia="nb-NO"/>
                              </w:rPr>
                              <w:t>.</w:t>
                            </w:r>
                          </w:p>
                          <w:p w:rsidR="0006205E" w:rsidRPr="0006205E" w:rsidRDefault="0006205E" w:rsidP="0006205E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ind w:left="0"/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06205E" w:rsidRPr="0006205E" w:rsidRDefault="0006205E" w:rsidP="0006205E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ind w:left="0"/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06205E" w:rsidRPr="0006205E" w:rsidRDefault="0006205E" w:rsidP="0006205E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ind w:left="0"/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06205E" w:rsidRDefault="0006205E" w:rsidP="0006205E">
                            <w:r w:rsidRPr="0006205E">
                              <w:rPr>
                                <w:rFonts w:ascii="Segoe UI" w:eastAsia="Times New Roman" w:hAnsi="Segoe UI" w:cs="Segoe UI"/>
                                <w:color w:val="0071BC"/>
                                <w:sz w:val="24"/>
                                <w:szCs w:val="24"/>
                                <w:shd w:val="clear" w:color="auto" w:fill="FFFFFF"/>
                                <w:lang w:eastAsia="nb-NO"/>
                              </w:rPr>
                              <w:t>. </w:t>
                            </w:r>
                            <w:r w:rsidRPr="0006205E"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shd w:val="clear" w:color="auto" w:fill="FFFFFF"/>
                                <w:lang w:eastAsia="nb-NO"/>
                              </w:rPr>
                              <w:t xml:space="preserve">2021 </w:t>
                            </w:r>
                            <w:proofErr w:type="spellStart"/>
                            <w:r w:rsidRPr="0006205E"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shd w:val="clear" w:color="auto" w:fill="FFFFFF"/>
                                <w:lang w:eastAsia="nb-NO"/>
                              </w:rPr>
                              <w:t>Jun</w:t>
                            </w:r>
                            <w:proofErr w:type="spellEnd"/>
                            <w:r w:rsidRPr="0006205E"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shd w:val="clear" w:color="auto" w:fill="FFFFFF"/>
                                <w:lang w:eastAsia="nb-NO"/>
                              </w:rPr>
                              <w:t xml:space="preserve"> 24;384(25):2394-2405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09F3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425.2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">
                <v:textbox>
                  <w:txbxContent>
                    <w:p w:rsidR="001F2520" w:rsidRDefault="000E1038" w:rsidP="00EA5C1A">
                      <w:r>
                        <w:t xml:space="preserve">Metoden innebærer </w:t>
                      </w:r>
                      <w:r w:rsidR="00245940">
                        <w:t>behandling etter protokoll som i</w:t>
                      </w:r>
                      <w:r w:rsidR="001F2520">
                        <w:t xml:space="preserve"> </w:t>
                      </w:r>
                      <w:proofErr w:type="spellStart"/>
                      <w:r w:rsidR="001F2520">
                        <w:t>OlympiA</w:t>
                      </w:r>
                      <w:proofErr w:type="spellEnd"/>
                      <w:r w:rsidR="001F2520">
                        <w:t>-studien</w:t>
                      </w:r>
                      <w:r w:rsidR="0006205E">
                        <w:t>*</w:t>
                      </w:r>
                      <w:r w:rsidR="001F2520">
                        <w:t xml:space="preserve">: </w:t>
                      </w:r>
                    </w:p>
                    <w:p w:rsidR="001F2520" w:rsidRDefault="000E1038" w:rsidP="001F2520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olaparib</w:t>
                      </w:r>
                      <w:proofErr w:type="spellEnd"/>
                      <w:r>
                        <w:t xml:space="preserve"> tabletter i doseringen 300 mg x 2 </w:t>
                      </w:r>
                      <w:r w:rsidR="0006205E">
                        <w:t xml:space="preserve">gis </w:t>
                      </w:r>
                      <w:r>
                        <w:t>i ett år etter gjennomført standard behandling</w:t>
                      </w:r>
                    </w:p>
                    <w:p w:rsidR="00EA5C1A" w:rsidRDefault="001F2520" w:rsidP="001F2520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oppfølging: fysisk undersøkelse hver 4.uke i 24 uker, så hver 3.måned ut år 2, så hver 6.måned til utgangen av år 5, deretter årlig. Årlig mammografi, MR eller begge deler</w:t>
                      </w:r>
                    </w:p>
                    <w:p w:rsidR="0006205E" w:rsidRPr="0006205E" w:rsidRDefault="0006205E" w:rsidP="0006205E">
                      <w:pPr>
                        <w:shd w:val="clear" w:color="auto" w:fill="FFFFFF"/>
                        <w:spacing w:after="0"/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lang w:eastAsia="nb-NO"/>
                        </w:rPr>
                      </w:pPr>
                      <w:r>
                        <w:t xml:space="preserve">*Tutt ANJ, </w:t>
                      </w:r>
                      <w:proofErr w:type="spellStart"/>
                      <w:r>
                        <w:t>Garber</w:t>
                      </w:r>
                      <w:proofErr w:type="spellEnd"/>
                      <w:r>
                        <w:t xml:space="preserve"> JE et al. </w:t>
                      </w:r>
                      <w:r w:rsidRPr="00F7127A">
                        <w:rPr>
                          <w:lang w:val="en-US"/>
                        </w:rPr>
                        <w:t xml:space="preserve">Adjuvant olaparib for patients with BRCA1- og BRCA2-mutated breast cancer. </w:t>
                      </w:r>
                      <w:r w:rsidR="002507E0">
                        <w:fldChar w:fldCharType="begin"/>
                      </w:r>
                      <w:r w:rsidR="002507E0" w:rsidRPr="00F7127A">
                        <w:rPr>
                          <w:lang w:val="en-US"/>
                        </w:rPr>
                        <w:instrText xml:space="preserve"> HYPERLINK "https://pubmed.ncbi.nlm.nih.gov/34081848/" </w:instrText>
                      </w:r>
                      <w:r w:rsidR="002507E0">
                        <w:fldChar w:fldCharType="separate"/>
                      </w:r>
                      <w:r w:rsidRPr="0006205E">
                        <w:rPr>
                          <w:rStyle w:val="Hyperkobling"/>
                          <w:rFonts w:eastAsia="Times New Roman" w:cstheme="minorHAnsi"/>
                          <w:i/>
                          <w:lang w:eastAsia="nb-NO"/>
                        </w:rPr>
                        <w:t xml:space="preserve">N </w:t>
                      </w:r>
                      <w:proofErr w:type="spellStart"/>
                      <w:r w:rsidRPr="0006205E">
                        <w:rPr>
                          <w:rStyle w:val="Hyperkobling"/>
                          <w:rFonts w:eastAsia="Times New Roman" w:cstheme="minorHAnsi"/>
                          <w:i/>
                          <w:lang w:eastAsia="nb-NO"/>
                        </w:rPr>
                        <w:t>Engl</w:t>
                      </w:r>
                      <w:proofErr w:type="spellEnd"/>
                      <w:r w:rsidRPr="0006205E">
                        <w:rPr>
                          <w:rStyle w:val="Hyperkobling"/>
                          <w:rFonts w:eastAsia="Times New Roman" w:cstheme="minorHAnsi"/>
                          <w:i/>
                          <w:lang w:eastAsia="nb-NO"/>
                        </w:rPr>
                        <w:t xml:space="preserve"> J Med 2021; 384 (25): 2394-2405</w:t>
                      </w:r>
                      <w:r w:rsidR="002507E0">
                        <w:rPr>
                          <w:rStyle w:val="Hyperkobling"/>
                          <w:rFonts w:eastAsia="Times New Roman" w:cstheme="minorHAnsi"/>
                          <w:i/>
                          <w:lang w:eastAsia="nb-NO"/>
                        </w:rPr>
                        <w:fldChar w:fldCharType="end"/>
                      </w:r>
                      <w:r w:rsidRPr="0006205E">
                        <w:rPr>
                          <w:rFonts w:eastAsia="Times New Roman" w:cstheme="minorHAnsi"/>
                          <w:i/>
                          <w:color w:val="5B616B"/>
                          <w:lang w:eastAsia="nb-NO"/>
                        </w:rPr>
                        <w:t>.</w:t>
                      </w:r>
                    </w:p>
                    <w:p w:rsidR="0006205E" w:rsidRPr="0006205E" w:rsidRDefault="0006205E" w:rsidP="0006205E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ind w:left="0"/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lang w:eastAsia="nb-NO"/>
                        </w:rPr>
                      </w:pPr>
                    </w:p>
                    <w:p w:rsidR="0006205E" w:rsidRPr="0006205E" w:rsidRDefault="0006205E" w:rsidP="0006205E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ind w:left="0"/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lang w:eastAsia="nb-NO"/>
                        </w:rPr>
                      </w:pPr>
                    </w:p>
                    <w:p w:rsidR="0006205E" w:rsidRPr="0006205E" w:rsidRDefault="0006205E" w:rsidP="0006205E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ind w:left="0"/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lang w:eastAsia="nb-NO"/>
                        </w:rPr>
                      </w:pPr>
                    </w:p>
                    <w:p w:rsidR="0006205E" w:rsidRDefault="0006205E" w:rsidP="0006205E">
                      <w:r w:rsidRPr="0006205E">
                        <w:rPr>
                          <w:rFonts w:ascii="Segoe UI" w:eastAsia="Times New Roman" w:hAnsi="Segoe UI" w:cs="Segoe UI"/>
                          <w:color w:val="0071BC"/>
                          <w:sz w:val="24"/>
                          <w:szCs w:val="24"/>
                          <w:shd w:val="clear" w:color="auto" w:fill="FFFFFF"/>
                          <w:lang w:eastAsia="nb-NO"/>
                        </w:rPr>
                        <w:t>. </w:t>
                      </w:r>
                      <w:r w:rsidRPr="0006205E"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shd w:val="clear" w:color="auto" w:fill="FFFFFF"/>
                          <w:lang w:eastAsia="nb-NO"/>
                        </w:rPr>
                        <w:t xml:space="preserve">2021 </w:t>
                      </w:r>
                      <w:proofErr w:type="spellStart"/>
                      <w:r w:rsidRPr="0006205E"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shd w:val="clear" w:color="auto" w:fill="FFFFFF"/>
                          <w:lang w:eastAsia="nb-NO"/>
                        </w:rPr>
                        <w:t>Jun</w:t>
                      </w:r>
                      <w:proofErr w:type="spellEnd"/>
                      <w:r w:rsidRPr="0006205E"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shd w:val="clear" w:color="auto" w:fill="FFFFFF"/>
                          <w:lang w:eastAsia="nb-NO"/>
                        </w:rPr>
                        <w:t xml:space="preserve"> 24;384(25):2394-2405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:rsidR="00E800B1" w:rsidRDefault="00E800B1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6A8EBFB9">
                <wp:extent cx="5400000" cy="2266950"/>
                <wp:effectExtent l="0" t="0" r="10795" b="1905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05E" w:rsidRDefault="00472613" w:rsidP="00E800B1">
                            <w:r>
                              <w:t xml:space="preserve">Resultater fra interimsanalyse presentert på ASCO og publisert i NEJM juni 2021 anses </w:t>
                            </w:r>
                            <w:r w:rsidR="0006205E">
                              <w:t>av flere</w:t>
                            </w:r>
                            <w:r w:rsidR="000E1038">
                              <w:t xml:space="preserve"> fagmiljøer</w:t>
                            </w:r>
                            <w:r>
                              <w:t xml:space="preserve"> </w:t>
                            </w:r>
                            <w:r w:rsidR="000E1038">
                              <w:t>som tilstrekkelig positive til at behandlingen anbefales</w:t>
                            </w:r>
                            <w:r w:rsidR="00E65FF8">
                              <w:t xml:space="preserve"> flere steder</w:t>
                            </w:r>
                            <w:r w:rsidR="0006205E">
                              <w:t>:</w:t>
                            </w:r>
                          </w:p>
                          <w:p w:rsidR="007976C3" w:rsidRDefault="00E65FF8" w:rsidP="0006205E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t>Norsk brystkreftgruppe</w:t>
                            </w:r>
                            <w:r w:rsidR="007976C3">
                              <w:t xml:space="preserve"> (NBCG)</w:t>
                            </w:r>
                            <w:r>
                              <w:t xml:space="preserve"> vil omtale </w:t>
                            </w:r>
                            <w:r w:rsidRPr="0006205E">
                              <w:rPr>
                                <w:rFonts w:eastAsia="Times New Roman"/>
                              </w:rPr>
                              <w:t>behandlingen som den foretrukne behandling (dersom tilgjengelig, foreløpig ikke metodevurdert) i neste Handlingsprogram</w:t>
                            </w:r>
                            <w:r w:rsidR="007976C3"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7976C3">
                              <w:rPr>
                                <w:rFonts w:eastAsia="Times New Roman"/>
                              </w:rPr>
                              <w:t>pers.medd</w:t>
                            </w:r>
                            <w:proofErr w:type="spellEnd"/>
                            <w:proofErr w:type="gramEnd"/>
                            <w:r w:rsidR="007976C3">
                              <w:rPr>
                                <w:rFonts w:eastAsia="Times New Roman"/>
                              </w:rPr>
                              <w:t xml:space="preserve"> Egil Støre Blix, UNN, med henvisning til referat fra styringsgruppemøte i NBK 17.juni 2021</w:t>
                            </w:r>
                          </w:p>
                          <w:p w:rsidR="00E800B1" w:rsidRPr="0006205E" w:rsidRDefault="00E65FF8" w:rsidP="0006205E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 w:rsidRPr="0006205E">
                              <w:rPr>
                                <w:rFonts w:eastAsia="Times New Roman"/>
                              </w:rPr>
                              <w:t xml:space="preserve">Oppslagsverket </w:t>
                            </w:r>
                            <w:proofErr w:type="spellStart"/>
                            <w:r w:rsidRPr="0006205E">
                              <w:rPr>
                                <w:rFonts w:eastAsia="Times New Roman"/>
                              </w:rPr>
                              <w:t>UpToDate</w:t>
                            </w:r>
                            <w:proofErr w:type="spellEnd"/>
                            <w:r w:rsidR="0006205E" w:rsidRPr="0006205E">
                              <w:rPr>
                                <w:rFonts w:eastAsia="Times New Roman"/>
                              </w:rPr>
                              <w:t>*</w:t>
                            </w:r>
                            <w:r w:rsidRPr="0006205E">
                              <w:rPr>
                                <w:rFonts w:eastAsia="Times New Roman"/>
                              </w:rPr>
                              <w:t xml:space="preserve"> anbefaler </w:t>
                            </w:r>
                            <w:proofErr w:type="spellStart"/>
                            <w:r w:rsidRPr="0006205E">
                              <w:rPr>
                                <w:rFonts w:eastAsia="Times New Roman"/>
                              </w:rPr>
                              <w:t>olaparib</w:t>
                            </w:r>
                            <w:proofErr w:type="spellEnd"/>
                            <w:r w:rsidRPr="0006205E">
                              <w:rPr>
                                <w:rFonts w:eastAsia="Times New Roman"/>
                              </w:rPr>
                              <w:t xml:space="preserve"> fremfor observasjon til </w:t>
                            </w:r>
                            <w:proofErr w:type="gramStart"/>
                            <w:r w:rsidRPr="0006205E">
                              <w:rPr>
                                <w:rFonts w:eastAsia="Times New Roman"/>
                              </w:rPr>
                              <w:t>høyrisikopasienter</w:t>
                            </w:r>
                            <w:r w:rsidR="00E41779" w:rsidRPr="0006205E">
                              <w:rPr>
                                <w:rFonts w:eastAsia="Times New Roman"/>
                              </w:rPr>
                              <w:t xml:space="preserve">, </w:t>
                            </w:r>
                            <w:r w:rsidRPr="0006205E">
                              <w:rPr>
                                <w:rFonts w:eastAsia="Times New Roman"/>
                              </w:rPr>
                              <w:t xml:space="preserve"> med</w:t>
                            </w:r>
                            <w:proofErr w:type="gramEnd"/>
                            <w:r w:rsidRPr="0006205E">
                              <w:rPr>
                                <w:rFonts w:eastAsia="Times New Roman"/>
                              </w:rPr>
                              <w:t xml:space="preserve"> BRCA-mutasjoner som definert i </w:t>
                            </w:r>
                            <w:proofErr w:type="spellStart"/>
                            <w:r w:rsidRPr="0006205E">
                              <w:rPr>
                                <w:rFonts w:eastAsia="Times New Roman"/>
                              </w:rPr>
                              <w:t>OlympiA</w:t>
                            </w:r>
                            <w:proofErr w:type="spellEnd"/>
                            <w:r w:rsidRPr="0006205E">
                              <w:rPr>
                                <w:rFonts w:eastAsia="Times New Roman"/>
                              </w:rPr>
                              <w:t>-studien</w:t>
                            </w:r>
                            <w:r w:rsidR="0006205E" w:rsidRPr="0006205E"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:rsidR="0006205E" w:rsidRDefault="0006205E" w:rsidP="00E800B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06205E" w:rsidRPr="00766CFC" w:rsidRDefault="0006205E" w:rsidP="00E800B1">
                            <w:pPr>
                              <w:rPr>
                                <w:lang w:val="en-US"/>
                              </w:rPr>
                            </w:pPr>
                            <w:r w:rsidRPr="00F7127A">
                              <w:rPr>
                                <w:lang w:val="en-US"/>
                              </w:rPr>
                              <w:t>*</w:t>
                            </w: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Eichler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AF, </w:t>
                            </w: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Vora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SR. </w:t>
                            </w:r>
                            <w:hyperlink r:id="rId13" w:history="1">
                              <w:r w:rsidRPr="00F7127A">
                                <w:rPr>
                                  <w:rStyle w:val="Hyperkobling"/>
                                  <w:lang w:val="en-US"/>
                                </w:rPr>
                                <w:t>Practice changing updates</w:t>
                              </w:r>
                            </w:hyperlink>
                            <w:r w:rsidRPr="00F7127A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766CFC">
                              <w:rPr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766CFC">
                              <w:rPr>
                                <w:lang w:val="en-US"/>
                              </w:rPr>
                              <w:t>UpToDate</w:t>
                            </w:r>
                            <w:proofErr w:type="spellEnd"/>
                            <w:r w:rsidRPr="00766CFC">
                              <w:rPr>
                                <w:lang w:val="en-US"/>
                              </w:rPr>
                              <w:t>. Last updated: Aug 27, 2021</w:t>
                            </w:r>
                          </w:p>
                          <w:p w:rsidR="0006205E" w:rsidRPr="00766CFC" w:rsidRDefault="0006205E" w:rsidP="00E800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E36BA5" id="_x0000_s1028" type="#_x0000_t202" style="width:425.2pt;height:1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">
                <v:textbox>
                  <w:txbxContent>
                    <w:p w:rsidR="0006205E" w:rsidRDefault="00472613" w:rsidP="00E800B1">
                      <w:r>
                        <w:t xml:space="preserve">Resultater fra interimsanalyse presentert på ASCO og publisert i NEJM juni 2021 anses </w:t>
                      </w:r>
                      <w:r w:rsidR="0006205E">
                        <w:t>av flere</w:t>
                      </w:r>
                      <w:r w:rsidR="000E1038">
                        <w:t xml:space="preserve"> fagmiljøer</w:t>
                      </w:r>
                      <w:r>
                        <w:t xml:space="preserve"> </w:t>
                      </w:r>
                      <w:r w:rsidR="000E1038">
                        <w:t>som tilstrekkelig positive til at behandlingen anbefales</w:t>
                      </w:r>
                      <w:r w:rsidR="00E65FF8">
                        <w:t xml:space="preserve"> flere steder</w:t>
                      </w:r>
                      <w:r w:rsidR="0006205E">
                        <w:t>:</w:t>
                      </w:r>
                    </w:p>
                    <w:p w:rsidR="007976C3" w:rsidRDefault="00E65FF8" w:rsidP="0006205E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>
                        <w:t>Norsk brystkreftgruppe</w:t>
                      </w:r>
                      <w:r w:rsidR="007976C3">
                        <w:t xml:space="preserve"> (NBCG)</w:t>
                      </w:r>
                      <w:r>
                        <w:t xml:space="preserve"> vil omtale </w:t>
                      </w:r>
                      <w:r w:rsidRPr="0006205E">
                        <w:rPr>
                          <w:rFonts w:eastAsia="Times New Roman"/>
                        </w:rPr>
                        <w:t>behandlingen som den foretrukne behandling (dersom tilgjengelig, foreløpig ikke metodevurdert) i neste Handlingsprogram</w:t>
                      </w:r>
                      <w:r w:rsidR="007976C3">
                        <w:rPr>
                          <w:rFonts w:eastAsia="Times New Roman"/>
                        </w:rPr>
                        <w:t xml:space="preserve"> (</w:t>
                      </w:r>
                      <w:proofErr w:type="spellStart"/>
                      <w:r w:rsidR="007976C3">
                        <w:rPr>
                          <w:rFonts w:eastAsia="Times New Roman"/>
                        </w:rPr>
                        <w:t>pers.medd</w:t>
                      </w:r>
                      <w:proofErr w:type="spellEnd"/>
                      <w:r w:rsidR="007976C3">
                        <w:rPr>
                          <w:rFonts w:eastAsia="Times New Roman"/>
                        </w:rPr>
                        <w:t xml:space="preserve"> Egil Støre Blix, UNN, med henvisning til referat fra styringsgruppemøte i NBK 17.juni 2021</w:t>
                      </w:r>
                    </w:p>
                    <w:p w:rsidR="00E800B1" w:rsidRPr="0006205E" w:rsidRDefault="00E65FF8" w:rsidP="0006205E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 w:rsidRPr="0006205E">
                        <w:rPr>
                          <w:rFonts w:eastAsia="Times New Roman"/>
                        </w:rPr>
                        <w:t xml:space="preserve">Oppslagsverket </w:t>
                      </w:r>
                      <w:proofErr w:type="spellStart"/>
                      <w:r w:rsidRPr="0006205E">
                        <w:rPr>
                          <w:rFonts w:eastAsia="Times New Roman"/>
                        </w:rPr>
                        <w:t>UpToDate</w:t>
                      </w:r>
                      <w:proofErr w:type="spellEnd"/>
                      <w:r w:rsidR="0006205E" w:rsidRPr="0006205E">
                        <w:rPr>
                          <w:rFonts w:eastAsia="Times New Roman"/>
                        </w:rPr>
                        <w:t>*</w:t>
                      </w:r>
                      <w:r w:rsidRPr="0006205E">
                        <w:rPr>
                          <w:rFonts w:eastAsia="Times New Roman"/>
                        </w:rPr>
                        <w:t xml:space="preserve"> anbefaler </w:t>
                      </w:r>
                      <w:proofErr w:type="spellStart"/>
                      <w:r w:rsidRPr="0006205E">
                        <w:rPr>
                          <w:rFonts w:eastAsia="Times New Roman"/>
                        </w:rPr>
                        <w:t>olaparib</w:t>
                      </w:r>
                      <w:proofErr w:type="spellEnd"/>
                      <w:r w:rsidRPr="0006205E">
                        <w:rPr>
                          <w:rFonts w:eastAsia="Times New Roman"/>
                        </w:rPr>
                        <w:t xml:space="preserve"> fremfor observasjon til høyrisikopasienter</w:t>
                      </w:r>
                      <w:r w:rsidR="00E41779" w:rsidRPr="0006205E">
                        <w:rPr>
                          <w:rFonts w:eastAsia="Times New Roman"/>
                        </w:rPr>
                        <w:t xml:space="preserve">, </w:t>
                      </w:r>
                      <w:r w:rsidRPr="0006205E">
                        <w:rPr>
                          <w:rFonts w:eastAsia="Times New Roman"/>
                        </w:rPr>
                        <w:t xml:space="preserve"> med BRCA-mutasjoner som definert i </w:t>
                      </w:r>
                      <w:proofErr w:type="spellStart"/>
                      <w:r w:rsidRPr="0006205E">
                        <w:rPr>
                          <w:rFonts w:eastAsia="Times New Roman"/>
                        </w:rPr>
                        <w:t>OlympiA</w:t>
                      </w:r>
                      <w:proofErr w:type="spellEnd"/>
                      <w:r w:rsidRPr="0006205E">
                        <w:rPr>
                          <w:rFonts w:eastAsia="Times New Roman"/>
                        </w:rPr>
                        <w:t>-studien</w:t>
                      </w:r>
                      <w:r w:rsidR="0006205E" w:rsidRPr="0006205E">
                        <w:rPr>
                          <w:rFonts w:eastAsia="Times New Roman"/>
                        </w:rPr>
                        <w:t xml:space="preserve">. </w:t>
                      </w:r>
                    </w:p>
                    <w:p w:rsidR="0006205E" w:rsidRDefault="0006205E" w:rsidP="00E800B1">
                      <w:pPr>
                        <w:rPr>
                          <w:rFonts w:eastAsia="Times New Roman"/>
                        </w:rPr>
                      </w:pPr>
                    </w:p>
                    <w:p w:rsidR="0006205E" w:rsidRDefault="0006205E" w:rsidP="00E800B1">
                      <w:r w:rsidRPr="00F7127A">
                        <w:rPr>
                          <w:lang w:val="en-US"/>
                        </w:rPr>
                        <w:t xml:space="preserve">*Eichler AF, Vora SR. </w:t>
                      </w:r>
                      <w:r w:rsidR="002507E0">
                        <w:fldChar w:fldCharType="begin"/>
                      </w:r>
                      <w:r w:rsidR="002507E0" w:rsidRPr="00F7127A">
                        <w:rPr>
                          <w:lang w:val="en-US"/>
                        </w:rPr>
                        <w:instrText xml:space="preserve"> HYPERLINK "https://www.uptodate.com/contents</w:instrText>
                      </w:r>
                      <w:r w:rsidR="002507E0" w:rsidRPr="00F7127A">
                        <w:rPr>
                          <w:lang w:val="en-US"/>
                        </w:rPr>
                        <w:instrText xml:space="preserve">/practice-changing-updates?search=olaparib&amp;source=search_result&amp;selectedTitle=2~35&amp;usage_type=default&amp;display_rank=1" </w:instrText>
                      </w:r>
                      <w:r w:rsidR="002507E0">
                        <w:fldChar w:fldCharType="separate"/>
                      </w:r>
                      <w:r w:rsidRPr="00F7127A">
                        <w:rPr>
                          <w:rStyle w:val="Hyperkobling"/>
                          <w:lang w:val="en-US"/>
                        </w:rPr>
                        <w:t>Practice changing updates</w:t>
                      </w:r>
                      <w:r w:rsidR="002507E0">
                        <w:rPr>
                          <w:rStyle w:val="Hyperkobling"/>
                        </w:rPr>
                        <w:fldChar w:fldCharType="end"/>
                      </w:r>
                      <w:r w:rsidRPr="00F7127A">
                        <w:rPr>
                          <w:lang w:val="en-US"/>
                        </w:rPr>
                        <w:t xml:space="preserve">. </w:t>
                      </w:r>
                      <w:r>
                        <w:t xml:space="preserve">In </w:t>
                      </w:r>
                      <w:proofErr w:type="spellStart"/>
                      <w:r>
                        <w:t>UpToDate</w:t>
                      </w:r>
                      <w:proofErr w:type="spellEnd"/>
                      <w:r>
                        <w:t xml:space="preserve">. Last </w:t>
                      </w:r>
                      <w:proofErr w:type="spellStart"/>
                      <w:r>
                        <w:t>updated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Aug</w:t>
                      </w:r>
                      <w:proofErr w:type="spellEnd"/>
                      <w:r>
                        <w:t xml:space="preserve"> 27, 2021</w:t>
                      </w:r>
                    </w:p>
                    <w:p w:rsidR="0006205E" w:rsidRDefault="0006205E" w:rsidP="00E800B1"/>
                  </w:txbxContent>
                </v:textbox>
                <w10:anchorlock/>
              </v:shape>
            </w:pict>
          </mc:Fallback>
        </mc:AlternateContent>
      </w:r>
    </w:p>
    <w:p w:rsidR="002F0C89" w:rsidRDefault="002F0C89" w:rsidP="002F0C89">
      <w:pPr>
        <w:spacing w:after="200" w:line="276" w:lineRule="auto"/>
      </w:pPr>
    </w:p>
    <w:p w:rsidR="00595D4D" w:rsidRPr="00940D89" w:rsidRDefault="00595D4D" w:rsidP="00940D89">
      <w:pPr>
        <w:pStyle w:val="Listeavsnitt"/>
        <w:numPr>
          <w:ilvl w:val="0"/>
          <w:numId w:val="7"/>
        </w:numPr>
        <w:spacing w:after="200" w:line="276" w:lineRule="auto"/>
        <w:rPr>
          <w:b/>
        </w:rPr>
      </w:pPr>
      <w:r w:rsidRPr="00E800B1">
        <w:t>Foreslå hva som bør være hovedproblemstilling(er) for metodevurderingen, samt eventuelle underproblemstillinger. For deg som er kjent med «PICO (</w:t>
      </w:r>
      <w:proofErr w:type="spellStart"/>
      <w:r w:rsidRPr="00E800B1">
        <w:t>Patient</w:t>
      </w:r>
      <w:proofErr w:type="spellEnd"/>
      <w:r w:rsidRPr="00E800B1">
        <w:t xml:space="preserve">, </w:t>
      </w:r>
      <w:proofErr w:type="spellStart"/>
      <w:r w:rsidRPr="00E800B1">
        <w:t>Intervention</w:t>
      </w:r>
      <w:proofErr w:type="spellEnd"/>
      <w:r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Pr="00E800B1">
        <w:t xml:space="preserve"> inkluder gjerne tentativt forslag til PICO.*</w:t>
      </w:r>
      <w:r w:rsidR="00E800B1">
        <w:br/>
      </w:r>
    </w:p>
    <w:p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27A12272">
                <wp:extent cx="5400000" cy="1514475"/>
                <wp:effectExtent l="0" t="0" r="10795" b="2857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4D" w:rsidRDefault="007976C3" w:rsidP="00595D4D">
                            <w:r>
                              <w:t xml:space="preserve">Hovedproblemstilling: BRCA1-/2-mutert brystkreft gir høy risiko for tilbakefall. </w:t>
                            </w:r>
                            <w:r w:rsidR="00486E60">
                              <w:t xml:space="preserve">Det finnes per </w:t>
                            </w:r>
                            <w:proofErr w:type="spellStart"/>
                            <w:r w:rsidR="00486E60">
                              <w:t>dd</w:t>
                            </w:r>
                            <w:proofErr w:type="spellEnd"/>
                            <w:r w:rsidR="00486E60">
                              <w:t xml:space="preserve"> ingen tilbud utover standardbehandling og deretter «vente og se» for pasienter med brystkreft med høy risiko for tilbakefall.</w:t>
                            </w:r>
                          </w:p>
                          <w:p w:rsidR="00A55E9C" w:rsidRDefault="00A55E9C" w:rsidP="00595D4D">
                            <w:r>
                              <w:t xml:space="preserve">Underproblemstillinger: kostbar </w:t>
                            </w:r>
                            <w:proofErr w:type="spellStart"/>
                            <w:r>
                              <w:t>off-label</w:t>
                            </w:r>
                            <w:proofErr w:type="spellEnd"/>
                            <w:r>
                              <w:t xml:space="preserve"> behandling som klinikerne ønsker å ta i bruk til en liten gruppe pasienter (</w:t>
                            </w:r>
                            <w:proofErr w:type="spellStart"/>
                            <w:proofErr w:type="gramStart"/>
                            <w:r>
                              <w:t>str.orden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B82558">
                              <w:t>ca</w:t>
                            </w:r>
                            <w:proofErr w:type="spellEnd"/>
                            <w:r w:rsidR="00B82558">
                              <w:t xml:space="preserve"> 30</w:t>
                            </w:r>
                            <w:r>
                              <w:t xml:space="preserve"> per år i Norge) (mulig å si noe om hvem disse (ofte) er? Unge kvinner, småbarnsmødre, kan være i jobb, faktorer av betydning for samfunnsøkonomi mm?)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842450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width:425.2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">
                <v:textbox>
                  <w:txbxContent>
                    <w:p w:rsidR="00595D4D" w:rsidRDefault="007976C3" w:rsidP="00595D4D">
                      <w:r>
                        <w:t xml:space="preserve">Hovedproblemstilling: BRCA1-/2-mutert brystkreft gir høy risiko for tilbakefall. </w:t>
                      </w:r>
                      <w:r w:rsidR="00486E60">
                        <w:t xml:space="preserve">Det finnes per </w:t>
                      </w:r>
                      <w:proofErr w:type="spellStart"/>
                      <w:r w:rsidR="00486E60">
                        <w:t>dd</w:t>
                      </w:r>
                      <w:proofErr w:type="spellEnd"/>
                      <w:r w:rsidR="00486E60">
                        <w:t xml:space="preserve"> ingen tilbud utover standardbehandling og deretter «vente og se» for pasienter med brystkreft med høy risiko for tilbakefall.</w:t>
                      </w:r>
                    </w:p>
                    <w:p w:rsidR="00A55E9C" w:rsidRDefault="00A55E9C" w:rsidP="00595D4D">
                      <w:r>
                        <w:t xml:space="preserve">Underproblemstillinger: kostbar </w:t>
                      </w:r>
                      <w:proofErr w:type="spellStart"/>
                      <w:r>
                        <w:t>off-label</w:t>
                      </w:r>
                      <w:proofErr w:type="spellEnd"/>
                      <w:r>
                        <w:t xml:space="preserve"> behandling som klinikerne ønsker å ta i bruk til en liten gruppe pasienter (</w:t>
                      </w:r>
                      <w:proofErr w:type="spellStart"/>
                      <w:proofErr w:type="gramStart"/>
                      <w:r>
                        <w:t>str.orden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 w:rsidR="00B82558">
                        <w:t>ca</w:t>
                      </w:r>
                      <w:proofErr w:type="spellEnd"/>
                      <w:r w:rsidR="00B82558">
                        <w:t xml:space="preserve"> 30</w:t>
                      </w:r>
                      <w:r>
                        <w:t xml:space="preserve"> per år i Norge) (mulig å si noe om hvem disse (ofte) er? Unge kvinner, småbarnsmødre, kan være i jobb, faktorer av betydning for samfunnsøkonomi mm?)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proofErr w:type="spellStart"/>
      <w:r w:rsidRPr="00E800B1">
        <w:rPr>
          <w:sz w:val="16"/>
          <w:szCs w:val="16"/>
        </w:rPr>
        <w:t>Population</w:t>
      </w:r>
      <w:proofErr w:type="spellEnd"/>
      <w:r w:rsidRPr="00E800B1">
        <w:rPr>
          <w:sz w:val="16"/>
          <w:szCs w:val="16"/>
        </w:rPr>
        <w:t xml:space="preserve">/Problem – </w:t>
      </w:r>
      <w:proofErr w:type="spellStart"/>
      <w:r w:rsidRPr="00E800B1">
        <w:rPr>
          <w:sz w:val="16"/>
          <w:szCs w:val="16"/>
        </w:rPr>
        <w:t>Intervention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Comparison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Outcome</w:t>
      </w:r>
      <w:proofErr w:type="spellEnd"/>
      <w:r w:rsidRPr="00E800B1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lastRenderedPageBreak/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406793FF">
                <wp:extent cx="5400000" cy="1428750"/>
                <wp:effectExtent l="0" t="0" r="10795" b="19050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7976C3" w:rsidP="00EA5C1A">
                            <w:r>
                              <w:t xml:space="preserve">Foreslått metode er et tillegg til etablert behandlingstilbud. </w:t>
                            </w:r>
                            <w:proofErr w:type="spellStart"/>
                            <w:r w:rsidR="00486E60">
                              <w:t>OlympiA</w:t>
                            </w:r>
                            <w:proofErr w:type="spellEnd"/>
                            <w:r w:rsidR="00486E60">
                              <w:t xml:space="preserve">-studien viste en økning i 3-års </w:t>
                            </w:r>
                            <w:proofErr w:type="spellStart"/>
                            <w:r w:rsidR="00486E60">
                              <w:t>sykdomsfri</w:t>
                            </w:r>
                            <w:proofErr w:type="spellEnd"/>
                            <w:r w:rsidR="00486E60">
                              <w:t xml:space="preserve"> overlevelse fra 77,1 % i placebo-gruppen til 85,9 % i </w:t>
                            </w:r>
                            <w:proofErr w:type="spellStart"/>
                            <w:r w:rsidR="00486E60">
                              <w:t>olaparib</w:t>
                            </w:r>
                            <w:proofErr w:type="spellEnd"/>
                            <w:r w:rsidR="00486E60">
                              <w:t xml:space="preserve">-gruppen. Studien er en interimsanalyse av en studie der over 1800 pasienter ble randomisert til </w:t>
                            </w:r>
                            <w:proofErr w:type="spellStart"/>
                            <w:r w:rsidR="00486E60">
                              <w:t>olaparib</w:t>
                            </w:r>
                            <w:proofErr w:type="spellEnd"/>
                            <w:r w:rsidR="00486E60">
                              <w:t xml:space="preserve"> eller placebo mellom </w:t>
                            </w:r>
                            <w:r w:rsidR="00A55E9C">
                              <w:t>juni 2014 og mai 2019</w:t>
                            </w:r>
                            <w:r w:rsidR="00486E60">
                              <w:t>. På analysetidspunktet</w:t>
                            </w:r>
                            <w:r w:rsidR="00A55E9C">
                              <w:t xml:space="preserve"> (</w:t>
                            </w:r>
                            <w:proofErr w:type="spellStart"/>
                            <w:r w:rsidR="00A55E9C">
                              <w:t>cutoff</w:t>
                            </w:r>
                            <w:proofErr w:type="spellEnd"/>
                            <w:r w:rsidR="00A55E9C">
                              <w:t xml:space="preserve"> mars 2020)</w:t>
                            </w:r>
                            <w:r w:rsidR="00486E60">
                              <w:t xml:space="preserve"> var det ikke tilstrekkelig mange hendelser (tilbakefall eller død) til å konkludere sikkert med hensyn til totaloverlevelse, men det ble observert færre hendelser i </w:t>
                            </w:r>
                            <w:proofErr w:type="spellStart"/>
                            <w:r w:rsidR="00486E60">
                              <w:t>olaparib</w:t>
                            </w:r>
                            <w:proofErr w:type="spellEnd"/>
                            <w:r w:rsidR="00486E60">
                              <w:t xml:space="preserve">-gruppen enn i placebogruppen (59 </w:t>
                            </w:r>
                            <w:proofErr w:type="spellStart"/>
                            <w:r w:rsidR="00486E60">
                              <w:t>vs</w:t>
                            </w:r>
                            <w:proofErr w:type="spellEnd"/>
                            <w:r w:rsidR="00486E60">
                              <w:t xml:space="preserve"> 86).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1B55E" id="_x0000_s1030" type="#_x0000_t202" style="width:425.2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">
                <v:textbox>
                  <w:txbxContent>
                    <w:p w:rsidR="00EA5C1A" w:rsidRDefault="007976C3" w:rsidP="00EA5C1A">
                      <w:r>
                        <w:t xml:space="preserve">Foreslått metode er et tillegg til etablert behandlingstilbud. </w:t>
                      </w:r>
                      <w:proofErr w:type="spellStart"/>
                      <w:r w:rsidR="00486E60">
                        <w:t>OlympiA</w:t>
                      </w:r>
                      <w:proofErr w:type="spellEnd"/>
                      <w:r w:rsidR="00486E60">
                        <w:t xml:space="preserve">-studien viste en økning i 3-års sykdomsfri overlevelse fra 77,1 % i placebo-gruppen til 85,9 % i </w:t>
                      </w:r>
                      <w:proofErr w:type="spellStart"/>
                      <w:r w:rsidR="00486E60">
                        <w:t>olaparib</w:t>
                      </w:r>
                      <w:proofErr w:type="spellEnd"/>
                      <w:r w:rsidR="00486E60">
                        <w:t xml:space="preserve">-gruppen. Studien er en interimsanalyse av en studie der over 1800 pasienter ble randomisert til </w:t>
                      </w:r>
                      <w:proofErr w:type="spellStart"/>
                      <w:r w:rsidR="00486E60">
                        <w:t>olaparib</w:t>
                      </w:r>
                      <w:proofErr w:type="spellEnd"/>
                      <w:r w:rsidR="00486E60">
                        <w:t xml:space="preserve"> eller placebo mellom </w:t>
                      </w:r>
                      <w:r w:rsidR="00A55E9C">
                        <w:t>juni 2014 og mai 2019</w:t>
                      </w:r>
                      <w:r w:rsidR="00486E60">
                        <w:t>. På analysetidspunktet</w:t>
                      </w:r>
                      <w:r w:rsidR="00A55E9C">
                        <w:t xml:space="preserve"> (</w:t>
                      </w:r>
                      <w:proofErr w:type="spellStart"/>
                      <w:r w:rsidR="00A55E9C">
                        <w:t>cutoff</w:t>
                      </w:r>
                      <w:proofErr w:type="spellEnd"/>
                      <w:r w:rsidR="00A55E9C">
                        <w:t xml:space="preserve"> mars 2020)</w:t>
                      </w:r>
                      <w:r w:rsidR="00486E60">
                        <w:t xml:space="preserve"> var det ikke tilstrekkelig mange hendelser (tilbakefall eller død) til å konkludere sikkert med hensyn til totaloverlevelse, men det ble observert færre hendelser i </w:t>
                      </w:r>
                      <w:proofErr w:type="spellStart"/>
                      <w:r w:rsidR="00486E60">
                        <w:t>olaparib</w:t>
                      </w:r>
                      <w:proofErr w:type="spellEnd"/>
                      <w:r w:rsidR="00486E60">
                        <w:t xml:space="preserve">-gruppen enn i placebogruppen (59 </w:t>
                      </w:r>
                      <w:proofErr w:type="spellStart"/>
                      <w:r w:rsidR="00486E60">
                        <w:t>vs</w:t>
                      </w:r>
                      <w:proofErr w:type="spellEnd"/>
                      <w:r w:rsidR="00486E60">
                        <w:t xml:space="preserve"> 86).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C4B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C4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C4B">
            <w:rPr>
              <w:rFonts w:ascii="MS Gothic" w:eastAsia="MS Gothic" w:hAnsi="MS Gothic" w:hint="eastAsia"/>
            </w:rPr>
            <w:t>☒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</w:p>
    <w:p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C4B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2C64E791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B1" w:rsidRDefault="00A55E9C" w:rsidP="00E800B1">
                            <w:r>
                              <w:t>Pasienten behandles hjemme (tabletter)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693D64"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Ot2/eEpAgAATQQAAA4AAAAAAAAAAAAAAAAALgIAAGRycy9lMm9E&#10;b2MueG1sUEsBAi0AFAAGAAgAAAAhAH711/jcAAAABAEAAA8AAAAAAAAAAAAAAAAAgwQAAGRycy9k&#10;b3ducmV2LnhtbFBLBQYAAAAABAAEAPMAAACMBQAAAAA=&#10;">
                <v:textbox>
                  <w:txbxContent>
                    <w:p w:rsidR="00E800B1" w:rsidRDefault="00A55E9C" w:rsidP="00E800B1">
                      <w:r>
                        <w:t>Pasienten behandles hjemme (tabletter)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Default="00EA5C1A" w:rsidP="00EA5C1A">
      <w:pPr>
        <w:pStyle w:val="Ingenmellomrom"/>
        <w:keepNext/>
      </w:pPr>
      <w:r w:rsidRPr="00530572">
        <w:lastRenderedPageBreak/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:rsidR="00A55E9C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</w:p>
    <w:p w:rsidR="00A55E9C" w:rsidRDefault="00A55E9C" w:rsidP="00A55E9C">
      <w:r>
        <w:t xml:space="preserve">Det er LIS-avtale på </w:t>
      </w:r>
      <w:proofErr w:type="spellStart"/>
      <w:r>
        <w:t>olaparib</w:t>
      </w:r>
      <w:proofErr w:type="spellEnd"/>
      <w:r>
        <w:t xml:space="preserve"> (</w:t>
      </w:r>
      <w:proofErr w:type="spellStart"/>
      <w:r>
        <w:t>Lynparza</w:t>
      </w:r>
      <w:proofErr w:type="spellEnd"/>
      <w:r>
        <w:t xml:space="preserve">). Kostnad per </w:t>
      </w:r>
      <w:proofErr w:type="spellStart"/>
      <w:r>
        <w:t>mnd</w:t>
      </w:r>
      <w:proofErr w:type="spellEnd"/>
      <w:r>
        <w:t xml:space="preserve"> med tabletter i dosering </w:t>
      </w:r>
      <w:r w:rsidR="00766CFC" w:rsidRPr="00766CFC">
        <w:rPr>
          <w:highlight w:val="black"/>
        </w:rPr>
        <w:t>…………… ……</w:t>
      </w:r>
      <w:proofErr w:type="gramStart"/>
      <w:r w:rsidR="00766CFC" w:rsidRPr="00766CFC">
        <w:rPr>
          <w:highlight w:val="black"/>
        </w:rPr>
        <w:t>………….</w:t>
      </w:r>
      <w:proofErr w:type="gramEnd"/>
      <w:r w:rsidRPr="00766CFC">
        <w:rPr>
          <w:highlight w:val="black"/>
        </w:rPr>
        <w:t>.</w:t>
      </w:r>
      <w:r>
        <w:t xml:space="preserve">  1 års </w:t>
      </w:r>
      <w:r w:rsidRPr="00CE43F0">
        <w:t xml:space="preserve">behandling koster </w:t>
      </w:r>
      <w:r w:rsidR="00766CFC" w:rsidRPr="00766CFC">
        <w:rPr>
          <w:highlight w:val="black"/>
        </w:rPr>
        <w:t>…………………..</w:t>
      </w:r>
      <w:r w:rsidRPr="00766CFC">
        <w:rPr>
          <w:highlight w:val="black"/>
        </w:rPr>
        <w:t>.</w:t>
      </w:r>
      <w:r>
        <w:t xml:space="preserve"> Med den dokumentasjonen som foreligger per i dag er det ikke aktuelt å øke behandlingstiden utover 1 år.</w:t>
      </w:r>
    </w:p>
    <w:p w:rsidR="00A55E9C" w:rsidRDefault="00A55E9C" w:rsidP="00A55E9C">
      <w:pPr>
        <w:rPr>
          <w:color w:val="000000"/>
        </w:rPr>
      </w:pPr>
      <w:r>
        <w:t xml:space="preserve">(Felleskatalog-pris for </w:t>
      </w:r>
      <w:r>
        <w:rPr>
          <w:color w:val="000000"/>
        </w:rPr>
        <w:t>300 mg x 2 er 55 509 kr/</w:t>
      </w:r>
      <w:proofErr w:type="spellStart"/>
      <w:r>
        <w:rPr>
          <w:color w:val="000000"/>
        </w:rPr>
        <w:t>mnd</w:t>
      </w:r>
      <w:proofErr w:type="spellEnd"/>
      <w:r>
        <w:rPr>
          <w:color w:val="000000"/>
        </w:rPr>
        <w:t xml:space="preserve"> = 666 108 kr/år).</w:t>
      </w:r>
    </w:p>
    <w:p w:rsidR="008A3DBD" w:rsidRDefault="008A3DBD" w:rsidP="00940D89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</w:p>
    <w:p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90D" w:rsidRPr="00753DC1" w:rsidRDefault="0062390D" w:rsidP="00097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436254" id="Tekstboks 22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k/ub/i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:rsidR="0062390D" w:rsidRPr="00753DC1" w:rsidRDefault="0062390D" w:rsidP="00097369"/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857D56" id="Tekstboks 3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cVa1ZiYCAABM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940D89" w:rsidP="00EA5C1A">
                            <w:r>
                              <w:t>B</w:t>
                            </w:r>
                            <w:r w:rsidR="00A55E9C">
                              <w:t>rystkreft</w:t>
                            </w:r>
                            <w:r w:rsidR="007929D1">
                              <w:t>. Pasienter som per i dag ikke har et tilbud utover etablert 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1DCAC2" id="_x0000_s103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D6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akCJHlGpojUutgnHDcSBQ6cD8p6XG6K+p/&#10;7JkTlKhPBtuzLGazuA5Jmc3fTVFxl5b60sIMR6iKBkpGcRPSCiXi7A22cSsTwc+ZnHLGqU28nzYs&#10;rsWlnrye/wPrX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scVw+i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940D89" w:rsidP="00EA5C1A">
                      <w:r>
                        <w:t>B</w:t>
                      </w:r>
                      <w:r w:rsidR="00A55E9C">
                        <w:t>rystkreft</w:t>
                      </w:r>
                      <w:r w:rsidR="007929D1">
                        <w:t>. Pasienter som per i dag ikke har et tilbud utover etablert behandling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0982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E53575" w:rsidRDefault="00EA5C1A" w:rsidP="00EA5C1A">
      <w:pPr>
        <w:pStyle w:val="Listeavsnitt"/>
        <w:ind w:left="357"/>
        <w:rPr>
          <w:b/>
        </w:rPr>
      </w:pP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Kommenter metoden som forslås vurdert mht. følgende punkter:</w:t>
      </w:r>
    </w:p>
    <w:p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A55E9C" w:rsidP="00EA5C1A">
                            <w:r>
                              <w:t>Høy alvorlighetsgrad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249977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60517i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A55E9C" w:rsidP="00EA5C1A">
                      <w:r>
                        <w:t>Høy alvorlighetsgrad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Forventet effekt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080982" w:rsidP="00EA5C1A">
                            <w:r>
                              <w:t xml:space="preserve">Forlenget </w:t>
                            </w:r>
                            <w:proofErr w:type="spellStart"/>
                            <w:r w:rsidR="00A55E9C">
                              <w:t>sykdomsfri</w:t>
                            </w:r>
                            <w:proofErr w:type="spellEnd"/>
                            <w:r w:rsidR="00A55E9C">
                              <w:t xml:space="preserve"> overlevelse. Potensielt økt total</w:t>
                            </w:r>
                            <w:r>
                              <w:t>overlevelse</w:t>
                            </w:r>
                            <w:r w:rsidR="00A55E9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B46C1C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m4ZBx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080982" w:rsidP="00EA5C1A">
                      <w:r>
                        <w:t xml:space="preserve">Forlenget </w:t>
                      </w:r>
                      <w:r w:rsidR="00A55E9C">
                        <w:t>sykdomsfri overlevelse. Potensielt økt total</w:t>
                      </w:r>
                      <w:r>
                        <w:t>overlevelse</w:t>
                      </w:r>
                      <w:r w:rsidR="00A55E9C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A55E9C" w:rsidP="00EA5C1A">
                            <w:r>
                              <w:t>Akseptabel profil. Som forventet for medikamentgruppen PARP-</w:t>
                            </w:r>
                            <w:proofErr w:type="spellStart"/>
                            <w:r>
                              <w:t>hemmere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797519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UGq/N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:rsidR="00EA5C1A" w:rsidRDefault="00A55E9C" w:rsidP="00EA5C1A">
                      <w:r>
                        <w:t>Akseptabel profil. Som forventet for medikamentgruppen PARP-</w:t>
                      </w:r>
                      <w:proofErr w:type="spellStart"/>
                      <w:r>
                        <w:t>hemmere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D1" w:rsidRDefault="00940D89" w:rsidP="007929D1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30 pasienter per år</w:t>
                            </w:r>
                            <w:r w:rsidR="007929D1">
                              <w:t xml:space="preserve">. </w:t>
                            </w:r>
                          </w:p>
                          <w:p w:rsidR="007929D1" w:rsidRDefault="007929D1" w:rsidP="007929D1">
                            <w:r>
                              <w:t xml:space="preserve">Beregningen av antall er gjort av Egil Støre Blix (UNN) i samarbeid med Bjørn </w:t>
                            </w:r>
                            <w:proofErr w:type="spellStart"/>
                            <w:r>
                              <w:t>Naume</w:t>
                            </w:r>
                            <w:proofErr w:type="spellEnd"/>
                            <w:r>
                              <w:t xml:space="preserve"> (OUS) og Hans Petter Eikesdal (HUS):</w:t>
                            </w:r>
                          </w:p>
                          <w:p w:rsidR="007929D1" w:rsidRPr="00F7127A" w:rsidRDefault="007929D1" w:rsidP="007929D1">
                            <w:r w:rsidRPr="00F7127A">
                              <w:rPr>
                                <w:b/>
                              </w:rPr>
                              <w:t>Cancer in Norway</w:t>
                            </w:r>
                            <w:r w:rsidRPr="00F7127A">
                              <w:t xml:space="preserve">: </w:t>
                            </w:r>
                          </w:p>
                          <w:p w:rsidR="007929D1" w:rsidRDefault="007929D1" w:rsidP="007929D1">
                            <w:r>
                              <w:t>3753 pasienter diagnose brystkreft i Norge 2019</w:t>
                            </w:r>
                          </w:p>
                          <w:p w:rsidR="007929D1" w:rsidRDefault="007929D1" w:rsidP="007929D1">
                            <w:r>
                              <w:t xml:space="preserve">Tar bort 1513 pasienter i stadium I (2015-2019) og 144 pasienter med stadium IV </w:t>
                            </w:r>
                          </w:p>
                          <w:p w:rsidR="007929D1" w:rsidRDefault="007929D1" w:rsidP="007929D1">
                            <w:r>
                              <w:t>3753 – 1513 – 144 = 2096 pasienter i stadium II og III</w:t>
                            </w:r>
                          </w:p>
                          <w:p w:rsidR="007929D1" w:rsidRDefault="007929D1" w:rsidP="007929D1">
                            <w:r w:rsidRPr="00940D89">
                              <w:rPr>
                                <w:b/>
                              </w:rPr>
                              <w:t>Handlingsprogrammet</w:t>
                            </w:r>
                            <w:r>
                              <w:t xml:space="preserve">: Andel BRCA1-2 mutasjoner 2 - 3% (norske </w:t>
                            </w:r>
                            <w:proofErr w:type="spellStart"/>
                            <w:r>
                              <w:t>ref</w:t>
                            </w:r>
                            <w:proofErr w:type="spellEnd"/>
                            <w:r>
                              <w:t xml:space="preserve"> av Møller og </w:t>
                            </w:r>
                            <w:proofErr w:type="spellStart"/>
                            <w:r>
                              <w:t>Vetti</w:t>
                            </w:r>
                            <w:proofErr w:type="spellEnd"/>
                            <w:r>
                              <w:t xml:space="preserve">). </w:t>
                            </w:r>
                          </w:p>
                          <w:p w:rsidR="007929D1" w:rsidRDefault="007929D1" w:rsidP="007929D1">
                            <w:r>
                              <w:t>2% av 2096 pasienter stadium II og III = 42 pasienter</w:t>
                            </w:r>
                          </w:p>
                          <w:p w:rsidR="007929D1" w:rsidRDefault="007929D1" w:rsidP="007929D1">
                            <w:r>
                              <w:t>3% av 2096 pasienter stadium II og III = 63 pasienter</w:t>
                            </w:r>
                          </w:p>
                          <w:p w:rsidR="007929D1" w:rsidRDefault="007929D1" w:rsidP="007929D1">
                            <w:r>
                              <w:t xml:space="preserve">Tar bort 15% som er HER2 positive (skal ikke ha </w:t>
                            </w:r>
                            <w:proofErr w:type="spellStart"/>
                            <w:r>
                              <w:t>olaparib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7929D1" w:rsidRDefault="007929D1" w:rsidP="007929D1">
                            <w:r>
                              <w:t>85 % av 42 = 36 pasienter</w:t>
                            </w:r>
                          </w:p>
                          <w:p w:rsidR="007929D1" w:rsidRDefault="007929D1" w:rsidP="007929D1">
                            <w:r>
                              <w:t>85% av 63 = 54 pasienter</w:t>
                            </w:r>
                          </w:p>
                          <w:p w:rsidR="007929D1" w:rsidRDefault="007929D1" w:rsidP="007929D1">
                            <w:r w:rsidRPr="00940D89">
                              <w:rPr>
                                <w:b/>
                              </w:rPr>
                              <w:t xml:space="preserve">Hvor stor andel er ikke </w:t>
                            </w:r>
                            <w:proofErr w:type="spellStart"/>
                            <w:r w:rsidRPr="00940D89">
                              <w:rPr>
                                <w:b/>
                              </w:rPr>
                              <w:t>høyrisk</w:t>
                            </w:r>
                            <w:proofErr w:type="spellEnd"/>
                            <w:r w:rsidRPr="00940D89">
                              <w:rPr>
                                <w:b/>
                              </w:rPr>
                              <w:t xml:space="preserve"> definert etter </w:t>
                            </w:r>
                            <w:proofErr w:type="spellStart"/>
                            <w:r w:rsidRPr="00940D89">
                              <w:rPr>
                                <w:b/>
                              </w:rPr>
                              <w:t>OlympiA</w:t>
                            </w:r>
                            <w:proofErr w:type="spellEnd"/>
                            <w:r w:rsidRPr="00940D89">
                              <w:rPr>
                                <w:b/>
                              </w:rPr>
                              <w:t xml:space="preserve">-protokollen? </w:t>
                            </w:r>
                            <w:r>
                              <w:t xml:space="preserve">Det er denne gruppen som har gevinst av </w:t>
                            </w:r>
                            <w:proofErr w:type="spellStart"/>
                            <w:r>
                              <w:t>olaparib</w:t>
                            </w:r>
                            <w:proofErr w:type="spellEnd"/>
                            <w:r>
                              <w:t>. Vanskelig å vurdere siden det ikke finnes tall. Vårt estimat 50%?</w:t>
                            </w:r>
                          </w:p>
                          <w:p w:rsidR="007929D1" w:rsidRDefault="007929D1" w:rsidP="007929D1">
                            <w:r>
                              <w:t>50% av 36 pasienter = 18 pasienter</w:t>
                            </w:r>
                          </w:p>
                          <w:p w:rsidR="007929D1" w:rsidRPr="00753DC1" w:rsidRDefault="007929D1" w:rsidP="007929D1">
                            <w:r>
                              <w:t>50% av 63 pasienter = 27 pasienter</w:t>
                            </w:r>
                          </w:p>
                          <w:p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AB50C5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J7+kEI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7929D1" w:rsidRDefault="00940D89" w:rsidP="007929D1">
                      <w:pPr>
                        <w:rPr>
                          <w:color w:val="000000"/>
                        </w:rPr>
                      </w:pP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30 pasienter per år</w:t>
                      </w:r>
                      <w:r w:rsidR="007929D1">
                        <w:t xml:space="preserve">. </w:t>
                      </w:r>
                    </w:p>
                    <w:p w:rsidR="007929D1" w:rsidRDefault="007929D1" w:rsidP="007929D1">
                      <w:r>
                        <w:t xml:space="preserve">Beregningen av antall er gjort av Egil Støre Blix (UNN) i samarbeid med Bjørn </w:t>
                      </w:r>
                      <w:proofErr w:type="spellStart"/>
                      <w:r>
                        <w:t>Naume</w:t>
                      </w:r>
                      <w:proofErr w:type="spellEnd"/>
                      <w:r>
                        <w:t xml:space="preserve"> (OUS) og Hans Petter Eikesdal (HUS):</w:t>
                      </w:r>
                    </w:p>
                    <w:p w:rsidR="007929D1" w:rsidRPr="00F7127A" w:rsidRDefault="007929D1" w:rsidP="007929D1">
                      <w:r w:rsidRPr="00F7127A">
                        <w:rPr>
                          <w:b/>
                        </w:rPr>
                        <w:t>Cancer in Norway</w:t>
                      </w:r>
                      <w:r w:rsidRPr="00F7127A">
                        <w:t xml:space="preserve">: </w:t>
                      </w:r>
                    </w:p>
                    <w:p w:rsidR="007929D1" w:rsidRDefault="007929D1" w:rsidP="007929D1">
                      <w:r>
                        <w:t>3753 pasienter diagnose brystkreft i Norge 2019</w:t>
                      </w:r>
                    </w:p>
                    <w:p w:rsidR="007929D1" w:rsidRDefault="007929D1" w:rsidP="007929D1">
                      <w:r>
                        <w:t xml:space="preserve">Tar bort 1513 pasienter i stadium I (2015-2019) og 144 pasienter med stadium IV </w:t>
                      </w:r>
                    </w:p>
                    <w:p w:rsidR="007929D1" w:rsidRDefault="007929D1" w:rsidP="007929D1">
                      <w:r>
                        <w:t>3753 – 1513 – 144 = 2096 pasienter i stadium II og III</w:t>
                      </w:r>
                    </w:p>
                    <w:p w:rsidR="007929D1" w:rsidRDefault="007929D1" w:rsidP="007929D1">
                      <w:r w:rsidRPr="00940D89">
                        <w:rPr>
                          <w:b/>
                        </w:rPr>
                        <w:t>Handlingsprogrammet</w:t>
                      </w:r>
                      <w:r>
                        <w:t xml:space="preserve">: Andel BRCA1-2 mutasjoner 2 - 3% (norske </w:t>
                      </w:r>
                      <w:proofErr w:type="spellStart"/>
                      <w:r>
                        <w:t>ref</w:t>
                      </w:r>
                      <w:proofErr w:type="spellEnd"/>
                      <w:r>
                        <w:t xml:space="preserve"> av Møller og </w:t>
                      </w:r>
                      <w:proofErr w:type="spellStart"/>
                      <w:r>
                        <w:t>Vetti</w:t>
                      </w:r>
                      <w:proofErr w:type="spellEnd"/>
                      <w:r>
                        <w:t xml:space="preserve">). </w:t>
                      </w:r>
                    </w:p>
                    <w:p w:rsidR="007929D1" w:rsidRDefault="007929D1" w:rsidP="007929D1">
                      <w:r>
                        <w:t>2% av 2096 pasienter stadium II og III = 42 pasienter</w:t>
                      </w:r>
                    </w:p>
                    <w:p w:rsidR="007929D1" w:rsidRDefault="007929D1" w:rsidP="007929D1">
                      <w:r>
                        <w:t>3% av 2096 pasienter stadium II og III = 63 pasienter</w:t>
                      </w:r>
                    </w:p>
                    <w:p w:rsidR="007929D1" w:rsidRDefault="007929D1" w:rsidP="007929D1">
                      <w:r>
                        <w:t xml:space="preserve">Tar bort 15% som er HER2 positive (skal ikke ha </w:t>
                      </w:r>
                      <w:proofErr w:type="spellStart"/>
                      <w:r>
                        <w:t>olaparib</w:t>
                      </w:r>
                      <w:proofErr w:type="spellEnd"/>
                      <w:r>
                        <w:t>)</w:t>
                      </w:r>
                    </w:p>
                    <w:p w:rsidR="007929D1" w:rsidRDefault="007929D1" w:rsidP="007929D1">
                      <w:r>
                        <w:t>85 % av 42 = 36 pasienter</w:t>
                      </w:r>
                    </w:p>
                    <w:p w:rsidR="007929D1" w:rsidRDefault="007929D1" w:rsidP="007929D1">
                      <w:r>
                        <w:t>85% av 63 = 54 pasienter</w:t>
                      </w:r>
                    </w:p>
                    <w:p w:rsidR="007929D1" w:rsidRDefault="007929D1" w:rsidP="007929D1">
                      <w:r w:rsidRPr="00940D89">
                        <w:rPr>
                          <w:b/>
                        </w:rPr>
                        <w:t xml:space="preserve">Hvor stor andel er ikke høyrisk definert etter </w:t>
                      </w:r>
                      <w:proofErr w:type="spellStart"/>
                      <w:r w:rsidRPr="00940D89">
                        <w:rPr>
                          <w:b/>
                        </w:rPr>
                        <w:t>OlympiA</w:t>
                      </w:r>
                      <w:proofErr w:type="spellEnd"/>
                      <w:r w:rsidRPr="00940D89">
                        <w:rPr>
                          <w:b/>
                        </w:rPr>
                        <w:t xml:space="preserve">-protokollen? </w:t>
                      </w:r>
                      <w:r>
                        <w:t xml:space="preserve">Det er denne gruppen som har gevinst av </w:t>
                      </w:r>
                      <w:proofErr w:type="spellStart"/>
                      <w:r>
                        <w:t>olaparib</w:t>
                      </w:r>
                      <w:proofErr w:type="spellEnd"/>
                      <w:r>
                        <w:t>. Vanskelig å vurdere siden det ikke finnes tall. Vårt estimat 50%?</w:t>
                      </w:r>
                    </w:p>
                    <w:p w:rsidR="007929D1" w:rsidRDefault="007929D1" w:rsidP="007929D1">
                      <w:r>
                        <w:t>50% av 36 pasienter = 18 pasienter</w:t>
                      </w:r>
                    </w:p>
                    <w:p w:rsidR="007929D1" w:rsidRPr="00753DC1" w:rsidRDefault="007929D1" w:rsidP="007929D1">
                      <w:r>
                        <w:t>50% av 63 pasienter = 27 pasienter</w:t>
                      </w:r>
                      <w:bookmarkStart w:id="1" w:name="_GoBack"/>
                      <w:bookmarkEnd w:id="1"/>
                    </w:p>
                    <w:p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766CFC" w:rsidP="00EA5C1A">
                            <w:r w:rsidRPr="00766CFC">
                              <w:rPr>
                                <w:highlight w:val="black"/>
                              </w:rPr>
                              <w:t>…………………</w:t>
                            </w:r>
                            <w:r w:rsidR="00A55E9C" w:rsidRPr="00766CFC">
                              <w:rPr>
                                <w:highlight w:val="black"/>
                              </w:rPr>
                              <w:t xml:space="preserve"> </w:t>
                            </w:r>
                            <w:r w:rsidR="00A55E9C" w:rsidRPr="00766CFC">
                              <w:t>kr</w:t>
                            </w:r>
                            <w:r w:rsidR="00A55E9C">
                              <w:t xml:space="preserve"> per pasient med 1 års behandling</w:t>
                            </w:r>
                            <w:r>
                              <w:t xml:space="preserve">, totalt </w:t>
                            </w:r>
                            <w:r w:rsidRPr="00766CFC">
                              <w:rPr>
                                <w:highlight w:val="black"/>
                              </w:rPr>
                              <w:t>……</w:t>
                            </w:r>
                            <w:proofErr w:type="gramStart"/>
                            <w:r w:rsidRPr="00766CFC">
                              <w:rPr>
                                <w:highlight w:val="black"/>
                              </w:rPr>
                              <w:t>…………</w:t>
                            </w:r>
                            <w:r>
                              <w:rPr>
                                <w:highlight w:val="bla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highlight w:val="black"/>
                              </w:rPr>
                              <w:t>.</w:t>
                            </w:r>
                            <w:r w:rsidRPr="00766CFC">
                              <w:rPr>
                                <w:highlight w:val="black"/>
                              </w:rPr>
                              <w:t xml:space="preserve"> </w:t>
                            </w:r>
                            <w:proofErr w:type="gramStart"/>
                            <w:r w:rsidRPr="00766CFC">
                              <w:rPr>
                                <w:highlight w:val="black"/>
                              </w:rPr>
                              <w:t>.</w:t>
                            </w:r>
                            <w:r w:rsidRPr="00766CFC">
                              <w:t>NOK</w:t>
                            </w:r>
                            <w:proofErr w:type="gramEnd"/>
                            <w:r w:rsidR="007929D1" w:rsidRPr="00766CFC">
                              <w:t xml:space="preserve"> (30</w:t>
                            </w:r>
                            <w:r w:rsidR="007929D1">
                              <w:t xml:space="preserve"> pasienter/år)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7B8789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c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SY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CiL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C18IX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766CFC" w:rsidP="00EA5C1A">
                      <w:r w:rsidRPr="00766CFC">
                        <w:rPr>
                          <w:highlight w:val="black"/>
                        </w:rPr>
                        <w:t>…………………</w:t>
                      </w:r>
                      <w:r w:rsidR="00A55E9C" w:rsidRPr="00766CFC">
                        <w:rPr>
                          <w:highlight w:val="black"/>
                        </w:rPr>
                        <w:t xml:space="preserve"> </w:t>
                      </w:r>
                      <w:r w:rsidR="00A55E9C" w:rsidRPr="00766CFC">
                        <w:t>kr</w:t>
                      </w:r>
                      <w:r w:rsidR="00A55E9C">
                        <w:t xml:space="preserve"> per pasient med 1 års behandling</w:t>
                      </w:r>
                      <w:r>
                        <w:t xml:space="preserve">, totalt </w:t>
                      </w:r>
                      <w:r w:rsidRPr="00766CFC">
                        <w:rPr>
                          <w:highlight w:val="black"/>
                        </w:rPr>
                        <w:t>……</w:t>
                      </w:r>
                      <w:proofErr w:type="gramStart"/>
                      <w:r w:rsidRPr="00766CFC">
                        <w:rPr>
                          <w:highlight w:val="black"/>
                        </w:rPr>
                        <w:t>…………</w:t>
                      </w:r>
                      <w:r>
                        <w:rPr>
                          <w:highlight w:val="black"/>
                        </w:rPr>
                        <w:t>.</w:t>
                      </w:r>
                      <w:proofErr w:type="gramEnd"/>
                      <w:r>
                        <w:rPr>
                          <w:highlight w:val="black"/>
                        </w:rPr>
                        <w:t>.</w:t>
                      </w:r>
                      <w:r w:rsidRPr="00766CFC">
                        <w:rPr>
                          <w:highlight w:val="black"/>
                        </w:rPr>
                        <w:t xml:space="preserve"> </w:t>
                      </w:r>
                      <w:proofErr w:type="gramStart"/>
                      <w:r w:rsidRPr="00766CFC">
                        <w:rPr>
                          <w:highlight w:val="black"/>
                        </w:rPr>
                        <w:t>.</w:t>
                      </w:r>
                      <w:r w:rsidRPr="00766CFC">
                        <w:t>NOK</w:t>
                      </w:r>
                      <w:proofErr w:type="gramEnd"/>
                      <w:r w:rsidR="007929D1" w:rsidRPr="00766CFC">
                        <w:t xml:space="preserve"> (30</w:t>
                      </w:r>
                      <w:r w:rsidR="007929D1">
                        <w:t xml:space="preserve"> pasienter/år)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C0" w:rsidRPr="00F7127A" w:rsidRDefault="001A5FC0" w:rsidP="001A5FC0">
                            <w:pPr>
                              <w:shd w:val="clear" w:color="auto" w:fill="FFFFFF"/>
                              <w:spacing w:after="0"/>
                              <w:rPr>
                                <w:rFonts w:ascii="Segoe UI" w:eastAsia="Times New Roman" w:hAnsi="Segoe UI" w:cs="Segoe UI"/>
                                <w:color w:val="5B616B"/>
                                <w:sz w:val="24"/>
                                <w:szCs w:val="24"/>
                                <w:lang w:val="en-US" w:eastAsia="nb-NO"/>
                              </w:rPr>
                            </w:pPr>
                            <w:r>
                              <w:t xml:space="preserve">Tutt ANJ, </w:t>
                            </w:r>
                            <w:proofErr w:type="spellStart"/>
                            <w:r>
                              <w:t>Garber</w:t>
                            </w:r>
                            <w:proofErr w:type="spellEnd"/>
                            <w:r>
                              <w:t xml:space="preserve"> JE et al. </w:t>
                            </w:r>
                            <w:r w:rsidRPr="00F7127A">
                              <w:rPr>
                                <w:lang w:val="en-US"/>
                              </w:rPr>
                              <w:t xml:space="preserve">Adjuvant </w:t>
                            </w: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olaparib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for patients with BRCA1- </w:t>
                            </w:r>
                            <w:proofErr w:type="spellStart"/>
                            <w:proofErr w:type="gramStart"/>
                            <w:r w:rsidRPr="00F7127A">
                              <w:rPr>
                                <w:lang w:val="en-US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7127A">
                              <w:rPr>
                                <w:lang w:val="en-US"/>
                              </w:rPr>
                              <w:t xml:space="preserve"> BRCA2-mutated breast cancer. </w:t>
                            </w:r>
                            <w:hyperlink r:id="rId14" w:history="1">
                              <w:r w:rsidRPr="00F7127A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val="en-US" w:eastAsia="nb-NO"/>
                                </w:rPr>
                                <w:t xml:space="preserve">N </w:t>
                              </w:r>
                              <w:proofErr w:type="spellStart"/>
                              <w:r w:rsidRPr="00F7127A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val="en-US" w:eastAsia="nb-NO"/>
                                </w:rPr>
                                <w:t>Engl</w:t>
                              </w:r>
                              <w:proofErr w:type="spellEnd"/>
                              <w:r w:rsidRPr="00F7127A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val="en-US" w:eastAsia="nb-NO"/>
                                </w:rPr>
                                <w:t xml:space="preserve"> J Med 2021</w:t>
                              </w:r>
                              <w:proofErr w:type="gramStart"/>
                              <w:r w:rsidRPr="00F7127A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val="en-US" w:eastAsia="nb-NO"/>
                                </w:rPr>
                                <w:t>;</w:t>
                              </w:r>
                              <w:proofErr w:type="gramEnd"/>
                              <w:r w:rsidRPr="00F7127A">
                                <w:rPr>
                                  <w:rStyle w:val="Hyperkobling"/>
                                  <w:rFonts w:eastAsia="Times New Roman" w:cstheme="minorHAnsi"/>
                                  <w:i/>
                                  <w:lang w:val="en-US" w:eastAsia="nb-NO"/>
                                </w:rPr>
                                <w:t xml:space="preserve"> 384 (25): 2394-2405</w:t>
                              </w:r>
                            </w:hyperlink>
                            <w:r w:rsidRPr="00F7127A">
                              <w:rPr>
                                <w:rFonts w:eastAsia="Times New Roman" w:cstheme="minorHAnsi"/>
                                <w:i/>
                                <w:color w:val="5B616B"/>
                                <w:lang w:val="en-US" w:eastAsia="nb-NO"/>
                              </w:rPr>
                              <w:t>.</w:t>
                            </w:r>
                          </w:p>
                          <w:p w:rsidR="001A5FC0" w:rsidRPr="00F7127A" w:rsidRDefault="001A5FC0" w:rsidP="00EA5C1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A5C1A" w:rsidRPr="00766CFC" w:rsidRDefault="001A5FC0" w:rsidP="00EA5C1A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Eichler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AF, </w:t>
                            </w:r>
                            <w:proofErr w:type="spellStart"/>
                            <w:r w:rsidRPr="00F7127A">
                              <w:rPr>
                                <w:lang w:val="en-US"/>
                              </w:rPr>
                              <w:t>Vora</w:t>
                            </w:r>
                            <w:proofErr w:type="spellEnd"/>
                            <w:r w:rsidRPr="00F7127A">
                              <w:rPr>
                                <w:lang w:val="en-US"/>
                              </w:rPr>
                              <w:t xml:space="preserve"> SR. </w:t>
                            </w:r>
                            <w:hyperlink r:id="rId15" w:history="1">
                              <w:r w:rsidRPr="00F7127A">
                                <w:rPr>
                                  <w:rStyle w:val="Hyperkobling"/>
                                  <w:lang w:val="en-US"/>
                                </w:rPr>
                                <w:t>Practice changing updates</w:t>
                              </w:r>
                            </w:hyperlink>
                            <w:r w:rsidRPr="00F7127A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766CFC">
                              <w:rPr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766CFC">
                              <w:rPr>
                                <w:lang w:val="en-US"/>
                              </w:rPr>
                              <w:t>UpToDate</w:t>
                            </w:r>
                            <w:proofErr w:type="spellEnd"/>
                            <w:r w:rsidRPr="00766CFC">
                              <w:rPr>
                                <w:lang w:val="en-US"/>
                              </w:rPr>
                              <w:t>. Last updated: Aug 27,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FDB41F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Kabp1Y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1A5FC0" w:rsidRPr="00F7127A" w:rsidRDefault="001A5FC0" w:rsidP="001A5FC0">
                      <w:pPr>
                        <w:shd w:val="clear" w:color="auto" w:fill="FFFFFF"/>
                        <w:spacing w:after="0"/>
                        <w:rPr>
                          <w:rFonts w:ascii="Segoe UI" w:eastAsia="Times New Roman" w:hAnsi="Segoe UI" w:cs="Segoe UI"/>
                          <w:color w:val="5B616B"/>
                          <w:sz w:val="24"/>
                          <w:szCs w:val="24"/>
                          <w:lang w:val="en-US" w:eastAsia="nb-NO"/>
                        </w:rPr>
                      </w:pPr>
                      <w:r>
                        <w:t xml:space="preserve">Tutt ANJ, </w:t>
                      </w:r>
                      <w:proofErr w:type="spellStart"/>
                      <w:r>
                        <w:t>Garber</w:t>
                      </w:r>
                      <w:proofErr w:type="spellEnd"/>
                      <w:r>
                        <w:t xml:space="preserve"> JE et al. </w:t>
                      </w:r>
                      <w:r w:rsidRPr="00F7127A">
                        <w:rPr>
                          <w:lang w:val="en-US"/>
                        </w:rPr>
                        <w:t xml:space="preserve">Adjuvant olaparib for patients with BRCA1- og BRCA2-mutated breast cancer. </w:t>
                      </w:r>
                      <w:r w:rsidR="002507E0">
                        <w:fldChar w:fldCharType="begin"/>
                      </w:r>
                      <w:r w:rsidR="002507E0" w:rsidRPr="00F7127A">
                        <w:rPr>
                          <w:lang w:val="en-US"/>
                        </w:rPr>
                        <w:instrText xml:space="preserve"> HYPERLINK "https://pubmed.ncbi.nlm.nih.gov/34081848/" </w:instrText>
                      </w:r>
                      <w:r w:rsidR="002507E0">
                        <w:fldChar w:fldCharType="separate"/>
                      </w:r>
                      <w:r w:rsidRPr="00F7127A">
                        <w:rPr>
                          <w:rStyle w:val="Hyperkobling"/>
                          <w:rFonts w:eastAsia="Times New Roman" w:cstheme="minorHAnsi"/>
                          <w:i/>
                          <w:lang w:val="en-US" w:eastAsia="nb-NO"/>
                        </w:rPr>
                        <w:t>N Engl J Med 2021; 384 (25): 2394-2405</w:t>
                      </w:r>
                      <w:r w:rsidR="002507E0">
                        <w:rPr>
                          <w:rStyle w:val="Hyperkobling"/>
                          <w:rFonts w:eastAsia="Times New Roman" w:cstheme="minorHAnsi"/>
                          <w:i/>
                          <w:lang w:eastAsia="nb-NO"/>
                        </w:rPr>
                        <w:fldChar w:fldCharType="end"/>
                      </w:r>
                      <w:r w:rsidRPr="00F7127A">
                        <w:rPr>
                          <w:rFonts w:eastAsia="Times New Roman" w:cstheme="minorHAnsi"/>
                          <w:i/>
                          <w:color w:val="5B616B"/>
                          <w:lang w:val="en-US" w:eastAsia="nb-NO"/>
                        </w:rPr>
                        <w:t>.</w:t>
                      </w:r>
                    </w:p>
                    <w:p w:rsidR="001A5FC0" w:rsidRPr="00F7127A" w:rsidRDefault="001A5FC0" w:rsidP="00EA5C1A">
                      <w:pPr>
                        <w:rPr>
                          <w:lang w:val="en-US"/>
                        </w:rPr>
                      </w:pPr>
                    </w:p>
                    <w:p w:rsidR="00EA5C1A" w:rsidRDefault="001A5FC0" w:rsidP="00EA5C1A">
                      <w:r w:rsidRPr="00F7127A">
                        <w:rPr>
                          <w:lang w:val="en-US"/>
                        </w:rPr>
                        <w:t xml:space="preserve">Eichler AF, Vora SR. </w:t>
                      </w:r>
                      <w:r w:rsidR="002507E0">
                        <w:fldChar w:fldCharType="begin"/>
                      </w:r>
                      <w:r w:rsidR="002507E0" w:rsidRPr="00F7127A">
                        <w:rPr>
                          <w:lang w:val="en-US"/>
                        </w:rPr>
                        <w:instrText xml:space="preserve"> HYPERLINK "https://www.uptodate.com/contents/practice-changing-updates?search=olaparib&amp;source=search_result&amp;selectedTitle=2~</w:instrText>
                      </w:r>
                      <w:r w:rsidR="002507E0" w:rsidRPr="00F7127A">
                        <w:rPr>
                          <w:lang w:val="en-US"/>
                        </w:rPr>
                        <w:instrText xml:space="preserve">35&amp;usage_type=default&amp;display_rank=1" </w:instrText>
                      </w:r>
                      <w:r w:rsidR="002507E0">
                        <w:fldChar w:fldCharType="separate"/>
                      </w:r>
                      <w:r w:rsidRPr="00F7127A">
                        <w:rPr>
                          <w:rStyle w:val="Hyperkobling"/>
                          <w:lang w:val="en-US"/>
                        </w:rPr>
                        <w:t>Practice changing updates</w:t>
                      </w:r>
                      <w:r w:rsidR="002507E0">
                        <w:rPr>
                          <w:rStyle w:val="Hyperkobling"/>
                        </w:rPr>
                        <w:fldChar w:fldCharType="end"/>
                      </w:r>
                      <w:r w:rsidRPr="00F7127A">
                        <w:rPr>
                          <w:lang w:val="en-US"/>
                        </w:rPr>
                        <w:t xml:space="preserve">. </w:t>
                      </w:r>
                      <w:r>
                        <w:t xml:space="preserve">In </w:t>
                      </w:r>
                      <w:proofErr w:type="spellStart"/>
                      <w:r>
                        <w:t>UpToDate</w:t>
                      </w:r>
                      <w:proofErr w:type="spellEnd"/>
                      <w:r>
                        <w:t xml:space="preserve">. Last </w:t>
                      </w:r>
                      <w:proofErr w:type="spellStart"/>
                      <w:r>
                        <w:t>updated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Aug</w:t>
                      </w:r>
                      <w:proofErr w:type="spellEnd"/>
                      <w:r>
                        <w:t xml:space="preserve"> 27, 2021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1A5FC0" w:rsidP="00EA5C1A">
                            <w:proofErr w:type="spellStart"/>
                            <w:r>
                              <w:t>Lynparza</w:t>
                            </w:r>
                            <w:proofErr w:type="spellEnd"/>
                            <w:r>
                              <w:t xml:space="preserve"> tabletter/kapsler, Astra </w:t>
                            </w:r>
                            <w:proofErr w:type="spellStart"/>
                            <w:r>
                              <w:t>Zeneca</w:t>
                            </w:r>
                            <w:proofErr w:type="spellEnd"/>
                            <w:r>
                              <w:t xml:space="preserve"> (ATC-gruppe L01X K01)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E03CA8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UeNqq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1A5FC0" w:rsidP="00EA5C1A">
                      <w:proofErr w:type="spellStart"/>
                      <w:r>
                        <w:t>Lynparza</w:t>
                      </w:r>
                      <w:proofErr w:type="spellEnd"/>
                      <w:r>
                        <w:t xml:space="preserve"> tabletter/kapsler, Astra </w:t>
                      </w:r>
                      <w:proofErr w:type="spellStart"/>
                      <w:r>
                        <w:t>Zeneca</w:t>
                      </w:r>
                      <w:proofErr w:type="spellEnd"/>
                      <w:r>
                        <w:t xml:space="preserve"> (ATC-gruppe L01X K01)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Listeavsnitt"/>
        <w:ind w:left="357"/>
      </w:pP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1A5FC0" w:rsidP="00EA5C1A">
                            <w:r>
                              <w:t xml:space="preserve">Dato for første markedsføringstillatelse: 16.desember 2014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09467B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ky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O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JW6iTI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1A5FC0" w:rsidP="00EA5C1A">
                      <w:r>
                        <w:t xml:space="preserve">Dato for første markedsføringstillatelse: 16.desember 2014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859472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EsLAIAAE8EAAAOAAAAZHJzL2Uyb0RvYy54bWysVM1u2zAMvg/YOwi6L3YyZ02MOEWXLsOA&#10;7gdo9wCyLMdCJVGTlNjd05eSkyzdsMswHwRSpD6SH0mvrgetyEE4L8FUdDrJKRGGQyPNrqLfH7Zv&#10;FpT4wEzDFBhR0Sfh6fX69atVb0sxgw5UIxxBEOPL3la0C8GWWeZ5JzTzE7DCoLEFp1lA1e2yxrEe&#10;0bXKZnn+L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3y4X8xSDlafn1vnwUYAmUaiow+Yn&#10;eHa48yGmw8qTS4zmQclmK5VKitvVG+XIgeGgbNN3RH/hpgzpK7qcz+YjA3+FSMmm8cKoLyC0DDjx&#10;SuqKLsaS0gxG3j6YJsmBSTXK+FiZI5GRu5HFMNRD6tl0eWpQDc0TUutgnHDcSBQ6cD8p6XG6K+p/&#10;7JkTlKhPBtuznBZFXIekFPOr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AAbESw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4B0528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s9iuh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E0" w:rsidRDefault="002507E0" w:rsidP="00CB7C65">
      <w:pPr>
        <w:spacing w:after="0"/>
      </w:pPr>
      <w:r>
        <w:separator/>
      </w:r>
    </w:p>
  </w:endnote>
  <w:endnote w:type="continuationSeparator" w:id="0">
    <w:p w:rsidR="002507E0" w:rsidRDefault="002507E0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C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C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E0" w:rsidRDefault="002507E0" w:rsidP="00CB7C65">
      <w:pPr>
        <w:spacing w:after="0"/>
      </w:pPr>
      <w:r>
        <w:separator/>
      </w:r>
    </w:p>
  </w:footnote>
  <w:footnote w:type="continuationSeparator" w:id="0">
    <w:p w:rsidR="002507E0" w:rsidRDefault="002507E0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7296"/>
    <w:multiLevelType w:val="hybridMultilevel"/>
    <w:tmpl w:val="9FDA14D0"/>
    <w:lvl w:ilvl="0" w:tplc="68C4A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708"/>
    <w:multiLevelType w:val="hybridMultilevel"/>
    <w:tmpl w:val="39FCD43A"/>
    <w:lvl w:ilvl="0" w:tplc="F9001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0D0E"/>
    <w:multiLevelType w:val="multilevel"/>
    <w:tmpl w:val="F8B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6205E"/>
    <w:rsid w:val="00076738"/>
    <w:rsid w:val="00080982"/>
    <w:rsid w:val="00087413"/>
    <w:rsid w:val="00097369"/>
    <w:rsid w:val="000A49E8"/>
    <w:rsid w:val="000B237D"/>
    <w:rsid w:val="000B50DC"/>
    <w:rsid w:val="000E1038"/>
    <w:rsid w:val="000E671E"/>
    <w:rsid w:val="00107D2D"/>
    <w:rsid w:val="00137F37"/>
    <w:rsid w:val="001837E4"/>
    <w:rsid w:val="001A5FC0"/>
    <w:rsid w:val="001F2520"/>
    <w:rsid w:val="001F612C"/>
    <w:rsid w:val="00236EFA"/>
    <w:rsid w:val="00237A82"/>
    <w:rsid w:val="00245940"/>
    <w:rsid w:val="002507E0"/>
    <w:rsid w:val="0029279A"/>
    <w:rsid w:val="00293435"/>
    <w:rsid w:val="002D46BE"/>
    <w:rsid w:val="002E100D"/>
    <w:rsid w:val="002F0C89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273C8"/>
    <w:rsid w:val="004479DA"/>
    <w:rsid w:val="004538A4"/>
    <w:rsid w:val="00472613"/>
    <w:rsid w:val="00482A88"/>
    <w:rsid w:val="00486D70"/>
    <w:rsid w:val="00486E60"/>
    <w:rsid w:val="004969DD"/>
    <w:rsid w:val="004A6C51"/>
    <w:rsid w:val="004B2549"/>
    <w:rsid w:val="004C0E4A"/>
    <w:rsid w:val="004D5DC9"/>
    <w:rsid w:val="00510EEA"/>
    <w:rsid w:val="00511834"/>
    <w:rsid w:val="0052613D"/>
    <w:rsid w:val="00530EF2"/>
    <w:rsid w:val="005520FF"/>
    <w:rsid w:val="005560A1"/>
    <w:rsid w:val="00577673"/>
    <w:rsid w:val="00584026"/>
    <w:rsid w:val="00586DF8"/>
    <w:rsid w:val="0059015E"/>
    <w:rsid w:val="00595D4D"/>
    <w:rsid w:val="005A5A48"/>
    <w:rsid w:val="005D10A3"/>
    <w:rsid w:val="0062390D"/>
    <w:rsid w:val="0063026D"/>
    <w:rsid w:val="00630C4B"/>
    <w:rsid w:val="00642ABD"/>
    <w:rsid w:val="00663E14"/>
    <w:rsid w:val="00687303"/>
    <w:rsid w:val="006B1F22"/>
    <w:rsid w:val="006B5B4F"/>
    <w:rsid w:val="006B7A0F"/>
    <w:rsid w:val="006D4C0B"/>
    <w:rsid w:val="00744262"/>
    <w:rsid w:val="00756189"/>
    <w:rsid w:val="007643D3"/>
    <w:rsid w:val="00766CFC"/>
    <w:rsid w:val="007929D1"/>
    <w:rsid w:val="007976C3"/>
    <w:rsid w:val="007B179D"/>
    <w:rsid w:val="007C6EA4"/>
    <w:rsid w:val="007D16A1"/>
    <w:rsid w:val="00810846"/>
    <w:rsid w:val="00813085"/>
    <w:rsid w:val="00826624"/>
    <w:rsid w:val="00851C5A"/>
    <w:rsid w:val="00876B6F"/>
    <w:rsid w:val="008A3DBD"/>
    <w:rsid w:val="008B0C09"/>
    <w:rsid w:val="008B6D2F"/>
    <w:rsid w:val="008F089A"/>
    <w:rsid w:val="009114E9"/>
    <w:rsid w:val="0093692E"/>
    <w:rsid w:val="00940D89"/>
    <w:rsid w:val="00955918"/>
    <w:rsid w:val="00982FC5"/>
    <w:rsid w:val="0099026A"/>
    <w:rsid w:val="0099689E"/>
    <w:rsid w:val="009A2711"/>
    <w:rsid w:val="009B01CE"/>
    <w:rsid w:val="009C220B"/>
    <w:rsid w:val="009D0B3D"/>
    <w:rsid w:val="009E09D1"/>
    <w:rsid w:val="009F63AC"/>
    <w:rsid w:val="009F727F"/>
    <w:rsid w:val="00A0209E"/>
    <w:rsid w:val="00A04D17"/>
    <w:rsid w:val="00A15546"/>
    <w:rsid w:val="00A156C7"/>
    <w:rsid w:val="00A16C4B"/>
    <w:rsid w:val="00A238FC"/>
    <w:rsid w:val="00A2476C"/>
    <w:rsid w:val="00A3088A"/>
    <w:rsid w:val="00A36410"/>
    <w:rsid w:val="00A40592"/>
    <w:rsid w:val="00A504A5"/>
    <w:rsid w:val="00A55E9C"/>
    <w:rsid w:val="00A7499A"/>
    <w:rsid w:val="00AF5F85"/>
    <w:rsid w:val="00AF7195"/>
    <w:rsid w:val="00B225BF"/>
    <w:rsid w:val="00B30373"/>
    <w:rsid w:val="00B55123"/>
    <w:rsid w:val="00B62381"/>
    <w:rsid w:val="00B82558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E43F0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E12E99"/>
    <w:rsid w:val="00E41779"/>
    <w:rsid w:val="00E41B2F"/>
    <w:rsid w:val="00E4541E"/>
    <w:rsid w:val="00E50A51"/>
    <w:rsid w:val="00E532FF"/>
    <w:rsid w:val="00E650CC"/>
    <w:rsid w:val="00E65FF8"/>
    <w:rsid w:val="00E800B1"/>
    <w:rsid w:val="00E83A05"/>
    <w:rsid w:val="00EA5C1A"/>
    <w:rsid w:val="00EC05D7"/>
    <w:rsid w:val="00EE222D"/>
    <w:rsid w:val="00F01202"/>
    <w:rsid w:val="00F15538"/>
    <w:rsid w:val="00F21563"/>
    <w:rsid w:val="00F336F2"/>
    <w:rsid w:val="00F41DE1"/>
    <w:rsid w:val="00F439F8"/>
    <w:rsid w:val="00F472C5"/>
    <w:rsid w:val="00F53B84"/>
    <w:rsid w:val="00F61462"/>
    <w:rsid w:val="00F7127A"/>
    <w:rsid w:val="00F8383D"/>
    <w:rsid w:val="00FE2B75"/>
    <w:rsid w:val="00FE2C8A"/>
    <w:rsid w:val="00FF4B91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BB7482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E65FF8"/>
    <w:rPr>
      <w:i/>
      <w:iCs/>
    </w:rPr>
  </w:style>
  <w:style w:type="character" w:customStyle="1" w:styleId="period">
    <w:name w:val="period"/>
    <w:basedOn w:val="Standardskriftforavsnitt"/>
    <w:rsid w:val="0006205E"/>
  </w:style>
  <w:style w:type="character" w:customStyle="1" w:styleId="cit">
    <w:name w:val="cit"/>
    <w:basedOn w:val="Standardskriftforavsnitt"/>
    <w:rsid w:val="0006205E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6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ptodate.com/contents/practice-changing-updates?search=olaparib&amp;source=search_result&amp;selectedTitle=2~35&amp;usage_type=default&amp;display_rank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4081848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ptodate.com/contents/practice-changing-updates?search=olaparib&amp;source=search_result&amp;selectedTitle=2~35&amp;usage_type=default&amp;display_rank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med.ncbi.nlm.nih.gov/3408184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BCD4-8F4F-4C27-AFAF-0EA3A6895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69DCA-DA7E-4750-A27E-C26DD65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A15DD-932D-4DC0-8ABE-8847238BFD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ED5095-3FA1-4410-993C-CB213193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Helene Örthagen</cp:lastModifiedBy>
  <cp:revision>3</cp:revision>
  <cp:lastPrinted>2020-01-16T08:16:00Z</cp:lastPrinted>
  <dcterms:created xsi:type="dcterms:W3CDTF">2021-09-10T05:50:00Z</dcterms:created>
  <dcterms:modified xsi:type="dcterms:W3CDTF">2021-09-10T05:58:00Z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