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68A24" w14:textId="7CE0BE72" w:rsidR="004B303D" w:rsidRDefault="0091218A" w:rsidP="003E11D8">
      <w:pPr>
        <w:spacing w:line="240" w:lineRule="auto"/>
        <w:contextualSpacing/>
        <w:rPr>
          <w:rFonts w:cs="Arial"/>
        </w:rPr>
      </w:pPr>
      <w:r>
        <w:rPr>
          <w:rStyle w:val="Heading1Char"/>
          <w:color w:val="auto"/>
        </w:rPr>
        <w:t>Nye metoder: Innspill til</w:t>
      </w:r>
      <w:r w:rsidR="003E11D8" w:rsidRPr="00815484">
        <w:rPr>
          <w:rStyle w:val="Heading1Char"/>
          <w:color w:val="auto"/>
        </w:rPr>
        <w:t xml:space="preserve"> </w:t>
      </w:r>
      <w:r w:rsidR="002E4930">
        <w:rPr>
          <w:rStyle w:val="Heading1Char"/>
          <w:color w:val="auto"/>
        </w:rPr>
        <w:t>metoder (</w:t>
      </w:r>
      <w:r w:rsidR="003E11D8" w:rsidRPr="00815484">
        <w:rPr>
          <w:rStyle w:val="Heading1Char"/>
          <w:rFonts w:asciiTheme="minorHAnsi" w:hAnsiTheme="minorHAnsi"/>
          <w:color w:val="auto"/>
        </w:rPr>
        <w:t>forslag</w:t>
      </w:r>
      <w:r w:rsidR="003E11D8" w:rsidRPr="00815484">
        <w:rPr>
          <w:rStyle w:val="Heading1Char"/>
          <w:color w:val="auto"/>
        </w:rPr>
        <w:t>/metodevarsler</w:t>
      </w:r>
      <w:r w:rsidR="002E4930">
        <w:rPr>
          <w:rStyle w:val="Heading1Char"/>
          <w:color w:val="auto"/>
        </w:rPr>
        <w:t>/oppdrag)</w:t>
      </w:r>
      <w:r w:rsidR="003E11D8">
        <w:rPr>
          <w:b/>
          <w:sz w:val="28"/>
          <w:szCs w:val="28"/>
        </w:rPr>
        <w:br/>
      </w:r>
      <w:r w:rsidR="00815484">
        <w:rPr>
          <w:rFonts w:cs="Arial"/>
        </w:rPr>
        <w:br/>
      </w:r>
      <w:r w:rsidR="003E11D8">
        <w:rPr>
          <w:rFonts w:cs="Arial"/>
        </w:rPr>
        <w:t>Alle har anledning til å komme med tilleggsopplysninger til en metode som er foreslått for nasjonal metodevurdering</w:t>
      </w:r>
      <w:r w:rsidR="004C5BF6">
        <w:rPr>
          <w:rFonts w:cs="Arial"/>
        </w:rPr>
        <w:t>. Det er ønskelig at innspill kommer</w:t>
      </w:r>
      <w:r w:rsidR="00643E8D">
        <w:rPr>
          <w:rFonts w:cs="Arial"/>
        </w:rPr>
        <w:t xml:space="preserve"> inn så tidlig som mulig i pros</w:t>
      </w:r>
      <w:r w:rsidR="004C5BF6">
        <w:rPr>
          <w:rFonts w:cs="Arial"/>
        </w:rPr>
        <w:t>esse</w:t>
      </w:r>
      <w:r w:rsidR="00643E8D">
        <w:rPr>
          <w:rFonts w:cs="Arial"/>
        </w:rPr>
        <w:t>n,</w:t>
      </w:r>
      <w:r w:rsidR="004C5BF6">
        <w:rPr>
          <w:rFonts w:cs="Arial"/>
        </w:rPr>
        <w:t xml:space="preserve"> fortrinnsvis</w:t>
      </w:r>
      <w:r w:rsidR="003E11D8">
        <w:rPr>
          <w:rFonts w:cs="Arial"/>
        </w:rPr>
        <w:t xml:space="preserve"> før</w:t>
      </w:r>
      <w:r w:rsidR="004B303D">
        <w:rPr>
          <w:rFonts w:cs="Arial"/>
        </w:rPr>
        <w:t xml:space="preserve"> </w:t>
      </w:r>
      <w:r w:rsidR="003E11D8">
        <w:rPr>
          <w:rFonts w:cs="Arial"/>
        </w:rPr>
        <w:t>behand</w:t>
      </w:r>
      <w:r w:rsidR="004C5BF6">
        <w:rPr>
          <w:rFonts w:cs="Arial"/>
        </w:rPr>
        <w:t>ling i</w:t>
      </w:r>
      <w:r w:rsidR="003E11D8">
        <w:rPr>
          <w:rFonts w:cs="Arial"/>
        </w:rPr>
        <w:t xml:space="preserve"> Bestillerforum RHF. </w:t>
      </w:r>
    </w:p>
    <w:p w14:paraId="7137614E" w14:textId="77777777" w:rsidR="006F6B4F" w:rsidRDefault="006F6B4F" w:rsidP="003E11D8">
      <w:pPr>
        <w:spacing w:line="240" w:lineRule="auto"/>
        <w:contextualSpacing/>
        <w:rPr>
          <w:rFonts w:cs="Arial"/>
        </w:rPr>
      </w:pPr>
    </w:p>
    <w:p w14:paraId="4A36612C" w14:textId="77777777" w:rsidR="006F6B4F" w:rsidRDefault="003E11D8" w:rsidP="003E11D8">
      <w:pPr>
        <w:spacing w:line="240" w:lineRule="auto"/>
        <w:contextualSpacing/>
        <w:rPr>
          <w:rFonts w:cs="Arial"/>
        </w:rPr>
      </w:pPr>
      <w:r>
        <w:rPr>
          <w:rFonts w:cs="Arial"/>
        </w:rPr>
        <w:t>Bruk dette skjema</w:t>
      </w:r>
      <w:r w:rsidR="004B303D">
        <w:rPr>
          <w:rFonts w:cs="Arial"/>
        </w:rPr>
        <w:t>et</w:t>
      </w:r>
      <w:r>
        <w:rPr>
          <w:rFonts w:cs="Arial"/>
        </w:rPr>
        <w:t xml:space="preserve"> for å gi innspill til forslag</w:t>
      </w:r>
      <w:r w:rsidR="002879D8">
        <w:rPr>
          <w:rFonts w:cs="Arial"/>
        </w:rPr>
        <w:t xml:space="preserve">, </w:t>
      </w:r>
      <w:r>
        <w:rPr>
          <w:rFonts w:cs="Arial"/>
        </w:rPr>
        <w:t>metodevarsler</w:t>
      </w:r>
      <w:r w:rsidR="002879D8">
        <w:rPr>
          <w:rFonts w:cs="Arial"/>
        </w:rPr>
        <w:t xml:space="preserve"> og oppdrag</w:t>
      </w:r>
      <w:r w:rsidR="004C5BF6">
        <w:rPr>
          <w:rFonts w:cs="Arial"/>
        </w:rPr>
        <w:t xml:space="preserve">. </w:t>
      </w:r>
      <w:r w:rsidR="00643E8D">
        <w:rPr>
          <w:rFonts w:cs="Arial"/>
        </w:rPr>
        <w:t>På nyemetoder.no vil nye forslag/metodevarsler ha s</w:t>
      </w:r>
      <w:r>
        <w:rPr>
          <w:rFonts w:cs="Arial"/>
        </w:rPr>
        <w:t>tatus</w:t>
      </w:r>
      <w:r w:rsidR="00643E8D">
        <w:rPr>
          <w:rFonts w:cs="Arial"/>
        </w:rPr>
        <w:t>en</w:t>
      </w:r>
      <w:r>
        <w:rPr>
          <w:rFonts w:cs="Arial"/>
        </w:rPr>
        <w:t xml:space="preserve"> «Forslag mottatt/åpent for innspill»</w:t>
      </w:r>
      <w:r w:rsidR="00A04572">
        <w:rPr>
          <w:rFonts w:cs="Arial"/>
        </w:rPr>
        <w:t xml:space="preserve"> </w:t>
      </w:r>
      <w:r w:rsidR="00643E8D">
        <w:rPr>
          <w:rFonts w:cs="Arial"/>
        </w:rPr>
        <w:t xml:space="preserve">før behandling i </w:t>
      </w:r>
    </w:p>
    <w:p w14:paraId="74D7070C" w14:textId="4B6DA55E" w:rsidR="003E11D8" w:rsidRDefault="00643E8D" w:rsidP="003E11D8">
      <w:pPr>
        <w:spacing w:line="240" w:lineRule="auto"/>
        <w:contextualSpacing/>
        <w:rPr>
          <w:rFonts w:cs="Arial"/>
        </w:rPr>
      </w:pPr>
      <w:r>
        <w:rPr>
          <w:rFonts w:cs="Arial"/>
        </w:rPr>
        <w:t>Bestillerforum RHF.</w:t>
      </w:r>
      <w:r w:rsidR="002B3123">
        <w:rPr>
          <w:rFonts w:cs="Arial"/>
        </w:rPr>
        <w:t xml:space="preserve"> Utfylt skjema sendes </w:t>
      </w:r>
      <w:hyperlink r:id="rId10" w:history="1">
        <w:r w:rsidR="002B3123" w:rsidRPr="003F2A15">
          <w:rPr>
            <w:rStyle w:val="Hyperlink"/>
            <w:rFonts w:cs="Arial"/>
          </w:rPr>
          <w:t>nyemetoder@helse-sorost.no</w:t>
        </w:r>
      </w:hyperlink>
      <w:r w:rsidR="002B3123">
        <w:rPr>
          <w:rFonts w:cs="Arial"/>
        </w:rPr>
        <w:t xml:space="preserve">. </w:t>
      </w:r>
    </w:p>
    <w:p w14:paraId="0937F911" w14:textId="77777777" w:rsidR="006F6B4F" w:rsidRDefault="006F6B4F" w:rsidP="003E11D8">
      <w:pPr>
        <w:spacing w:line="240" w:lineRule="auto"/>
        <w:contextualSpacing/>
        <w:rPr>
          <w:b/>
        </w:rPr>
      </w:pPr>
    </w:p>
    <w:p w14:paraId="75A49679" w14:textId="4DBA9831" w:rsidR="00C354DD" w:rsidRPr="002879D8" w:rsidRDefault="00AE58D8" w:rsidP="003E11D8">
      <w:pPr>
        <w:spacing w:line="240" w:lineRule="auto"/>
        <w:contextualSpacing/>
        <w:rPr>
          <w:sz w:val="20"/>
          <w:szCs w:val="24"/>
        </w:rPr>
      </w:pPr>
      <w:r w:rsidRPr="00AE58D8">
        <w:rPr>
          <w:b/>
        </w:rPr>
        <w:t>NB</w:t>
      </w:r>
      <w:r>
        <w:t xml:space="preserve">: </w:t>
      </w:r>
      <w:r w:rsidR="0091218A" w:rsidRPr="00AE58D8">
        <w:rPr>
          <w:b/>
        </w:rPr>
        <w:t>Punkt 1-3 og 1</w:t>
      </w:r>
      <w:r w:rsidR="001959E5" w:rsidRPr="00AE58D8">
        <w:rPr>
          <w:b/>
        </w:rPr>
        <w:t>1</w:t>
      </w:r>
      <w:r w:rsidR="0091218A" w:rsidRPr="00AE58D8">
        <w:rPr>
          <w:b/>
        </w:rPr>
        <w:t xml:space="preserve"> fylles ut av alle.</w:t>
      </w:r>
      <w:r w:rsidR="0091218A" w:rsidRPr="002879D8">
        <w:t xml:space="preserve"> Punkt 4-9</w:t>
      </w:r>
      <w:r w:rsidR="00C354DD" w:rsidRPr="002879D8">
        <w:t xml:space="preserve"> fylles </w:t>
      </w:r>
      <w:r w:rsidR="00D53539">
        <w:t xml:space="preserve">ut avhengig av rolle og </w:t>
      </w:r>
      <w:r w:rsidR="00C354DD" w:rsidRPr="002879D8">
        <w:t>kjennskap til metoden.</w:t>
      </w:r>
    </w:p>
    <w:p w14:paraId="1B7BDA75" w14:textId="6CF7CBB7" w:rsidR="002879D8" w:rsidRPr="002879D8" w:rsidRDefault="003E11D8" w:rsidP="002879D8">
      <w:r>
        <w:rPr>
          <w:rFonts w:cs="Arial"/>
        </w:rPr>
        <w:br/>
      </w:r>
      <w:r w:rsidRPr="00BB7BBF">
        <w:rPr>
          <w:b/>
        </w:rPr>
        <w:t>Jeg er klar over at skjemaet vil bli publisert i sin helhet</w:t>
      </w:r>
      <w:r w:rsidR="002879D8">
        <w:rPr>
          <w:b/>
        </w:rPr>
        <w:t xml:space="preserve"> på nyemetoder.no</w:t>
      </w:r>
      <w:r w:rsidRPr="00BB7BBF">
        <w:rPr>
          <w:b/>
        </w:rPr>
        <w:t xml:space="preserve"> (kryss av):                 </w:t>
      </w:r>
      <w:sdt>
        <w:sdtPr>
          <w:rPr>
            <w:b/>
          </w:rPr>
          <w:id w:val="10874984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32693">
            <w:rPr>
              <w:rFonts w:ascii="MS Gothic" w:eastAsia="MS Gothic" w:hAnsi="MS Gothic" w:hint="eastAsia"/>
              <w:b/>
            </w:rPr>
            <w:t>☒</w:t>
          </w:r>
        </w:sdtContent>
      </w:sdt>
      <w:r w:rsidR="002879D8">
        <w:rPr>
          <w:b/>
        </w:rPr>
        <w:br/>
      </w:r>
      <w:r w:rsidR="002879D8">
        <w:t>Har du informasjon du mener ikke kan</w:t>
      </w:r>
      <w:r w:rsidR="002879D8" w:rsidRPr="00BB7BBF">
        <w:t xml:space="preserve"> offentliggjøres</w:t>
      </w:r>
      <w:r w:rsidR="002879D8">
        <w:t>,</w:t>
      </w:r>
      <w:r w:rsidR="002879D8" w:rsidRPr="00BB7BBF">
        <w:t xml:space="preserve"> ta kontakt med sekretariatet </w:t>
      </w:r>
      <w:r w:rsidR="002879D8" w:rsidRPr="00BB7BBF">
        <w:rPr>
          <w:u w:val="single"/>
        </w:rPr>
        <w:t>før innsending</w:t>
      </w:r>
      <w:r w:rsidR="002879D8">
        <w:rPr>
          <w:b/>
        </w:rPr>
        <w:t xml:space="preserve">. </w:t>
      </w:r>
    </w:p>
    <w:p w14:paraId="5DD2D648" w14:textId="77777777" w:rsidR="002879D8" w:rsidRDefault="002879D8" w:rsidP="0091218A">
      <w:pPr>
        <w:spacing w:line="240" w:lineRule="auto"/>
        <w:contextualSpacing/>
        <w:jc w:val="both"/>
        <w:rPr>
          <w:b/>
        </w:rPr>
      </w:pPr>
    </w:p>
    <w:p w14:paraId="5F51F778" w14:textId="6D73E882" w:rsidR="003E11D8" w:rsidRDefault="003E11D8" w:rsidP="0091218A">
      <w:pPr>
        <w:spacing w:line="240" w:lineRule="auto"/>
        <w:contextualSpacing/>
        <w:jc w:val="both"/>
        <w:rPr>
          <w:rFonts w:ascii="MS Gothic" w:eastAsia="MS Gothic" w:hAnsi="MS Gothic" w:cs="MS Gothic"/>
          <w:b/>
        </w:rPr>
      </w:pPr>
      <w:r>
        <w:rPr>
          <w:b/>
        </w:rPr>
        <w:t>Jeg</w:t>
      </w:r>
      <w:r w:rsidRPr="005805DE">
        <w:rPr>
          <w:b/>
        </w:rPr>
        <w:t xml:space="preserve"> har fylt ut punkt </w:t>
      </w:r>
      <w:r w:rsidR="00885EFB">
        <w:rPr>
          <w:b/>
        </w:rPr>
        <w:t>1</w:t>
      </w:r>
      <w:r w:rsidR="001959E5">
        <w:rPr>
          <w:b/>
        </w:rPr>
        <w:t>1</w:t>
      </w:r>
      <w:r w:rsidRPr="005805DE">
        <w:rPr>
          <w:b/>
        </w:rPr>
        <w:t xml:space="preserve"> ned</w:t>
      </w:r>
      <w:r>
        <w:rPr>
          <w:b/>
        </w:rPr>
        <w:t xml:space="preserve">enfor «Interesser og eventuelle </w:t>
      </w:r>
      <w:r w:rsidRPr="005805DE">
        <w:rPr>
          <w:b/>
        </w:rPr>
        <w:t>interessek</w:t>
      </w:r>
      <w:r>
        <w:rPr>
          <w:b/>
        </w:rPr>
        <w:t xml:space="preserve">onflikter» (kryss av):  </w:t>
      </w:r>
      <w:r w:rsidR="006D3711">
        <w:rPr>
          <w:b/>
        </w:rPr>
        <w:t xml:space="preserve">    </w:t>
      </w:r>
      <w:sdt>
        <w:sdtPr>
          <w:rPr>
            <w:b/>
          </w:rPr>
          <w:id w:val="453379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32693">
            <w:rPr>
              <w:rFonts w:ascii="MS Gothic" w:eastAsia="MS Gothic" w:hAnsi="MS Gothic" w:hint="eastAsia"/>
              <w:b/>
            </w:rPr>
            <w:t>☒</w:t>
          </w:r>
        </w:sdtContent>
      </w:sdt>
      <w:r w:rsidRPr="005805DE">
        <w:rPr>
          <w:b/>
        </w:rPr>
        <w:t xml:space="preserve"> </w:t>
      </w:r>
    </w:p>
    <w:p w14:paraId="6C45AA23" w14:textId="77777777" w:rsidR="00D53539" w:rsidRDefault="00D53539" w:rsidP="003E11D8">
      <w:pPr>
        <w:spacing w:line="240" w:lineRule="auto"/>
        <w:contextualSpacing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4678"/>
      </w:tblGrid>
      <w:tr w:rsidR="003E11D8" w14:paraId="0A3EAB97" w14:textId="77777777" w:rsidTr="0086697D">
        <w:trPr>
          <w:trHeight w:val="20"/>
        </w:trPr>
        <w:tc>
          <w:tcPr>
            <w:tcW w:w="8755" w:type="dxa"/>
            <w:gridSpan w:val="2"/>
          </w:tcPr>
          <w:p w14:paraId="30E632FC" w14:textId="1FB733E8" w:rsidR="003E11D8" w:rsidRPr="001143A3" w:rsidRDefault="003E11D8" w:rsidP="0091218A">
            <w:pPr>
              <w:pStyle w:val="Heading3"/>
              <w:spacing w:after="240"/>
              <w:jc w:val="both"/>
              <w:outlineLvl w:val="2"/>
              <w:rPr>
                <w:color w:val="auto"/>
              </w:rPr>
            </w:pPr>
            <w:r w:rsidRPr="001143A3">
              <w:rPr>
                <w:color w:val="auto"/>
              </w:rPr>
              <w:t>1.Hvilken metode</w:t>
            </w:r>
            <w:r w:rsidR="005079D3">
              <w:rPr>
                <w:color w:val="auto"/>
              </w:rPr>
              <w:t xml:space="preserve"> gjelder innspillet</w:t>
            </w:r>
            <w:r w:rsidR="0091218A">
              <w:rPr>
                <w:color w:val="auto"/>
              </w:rPr>
              <w:t>?</w:t>
            </w:r>
          </w:p>
        </w:tc>
      </w:tr>
      <w:tr w:rsidR="003E11D8" w14:paraId="482D3D4F" w14:textId="77777777" w:rsidTr="0086697D">
        <w:tc>
          <w:tcPr>
            <w:tcW w:w="4077" w:type="dxa"/>
          </w:tcPr>
          <w:p w14:paraId="2149829E" w14:textId="06009F3E" w:rsidR="003E11D8" w:rsidRDefault="003E11D8" w:rsidP="0086697D">
            <w:r>
              <w:t>Metodens ID nummer:</w:t>
            </w:r>
          </w:p>
        </w:tc>
        <w:tc>
          <w:tcPr>
            <w:tcW w:w="4678" w:type="dxa"/>
          </w:tcPr>
          <w:p w14:paraId="1C24BB2C" w14:textId="619F0417" w:rsidR="006F6B4F" w:rsidRPr="005678B4" w:rsidRDefault="009E1331" w:rsidP="0086697D">
            <w:pPr>
              <w:rPr>
                <w:rFonts w:cstheme="minorHAnsi"/>
              </w:rPr>
            </w:pPr>
            <w:r w:rsidRPr="005678B4">
              <w:rPr>
                <w:rFonts w:cstheme="minorHAnsi"/>
                <w:color w:val="222222"/>
                <w:shd w:val="clear" w:color="auto" w:fill="FFFFFF"/>
              </w:rPr>
              <w:t>ID2017_097</w:t>
            </w:r>
          </w:p>
        </w:tc>
      </w:tr>
      <w:tr w:rsidR="003E11D8" w14:paraId="4951779C" w14:textId="77777777" w:rsidTr="0086697D">
        <w:tc>
          <w:tcPr>
            <w:tcW w:w="4077" w:type="dxa"/>
          </w:tcPr>
          <w:p w14:paraId="0A95CDA1" w14:textId="77777777" w:rsidR="003E11D8" w:rsidRDefault="003E11D8" w:rsidP="0086697D">
            <w:r>
              <w:t>Metodens tittel:</w:t>
            </w:r>
          </w:p>
        </w:tc>
        <w:tc>
          <w:tcPr>
            <w:tcW w:w="46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62"/>
            </w:tblGrid>
            <w:tr w:rsidR="00CA40C0" w:rsidRPr="005678B4" w14:paraId="20F79550" w14:textId="77777777">
              <w:trPr>
                <w:trHeight w:val="187"/>
              </w:trPr>
              <w:tc>
                <w:tcPr>
                  <w:tcW w:w="0" w:type="auto"/>
                </w:tcPr>
                <w:p w14:paraId="297FA55C" w14:textId="35FEA549" w:rsidR="00CA40C0" w:rsidRPr="005678B4" w:rsidRDefault="00CA40C0" w:rsidP="00CA40C0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  <w:lang w:val="nb-NO"/>
                    </w:rPr>
                  </w:pPr>
                  <w:r w:rsidRPr="005678B4">
                    <w:rPr>
                      <w:rFonts w:asciiTheme="minorHAnsi" w:hAnsiTheme="minorHAnsi" w:cstheme="minorHAnsi"/>
                      <w:sz w:val="22"/>
                      <w:szCs w:val="22"/>
                      <w:lang w:val="nb-NO"/>
                    </w:rPr>
                    <w:t xml:space="preserve">Ropeginterferon alfa 2b til behandling av polycytemia vera </w:t>
                  </w:r>
                </w:p>
              </w:tc>
            </w:tr>
          </w:tbl>
          <w:p w14:paraId="2FFE495E" w14:textId="3892C715" w:rsidR="006F6B4F" w:rsidRPr="005678B4" w:rsidRDefault="006F6B4F" w:rsidP="0086697D">
            <w:pPr>
              <w:rPr>
                <w:rFonts w:cstheme="minorHAnsi"/>
              </w:rPr>
            </w:pPr>
          </w:p>
        </w:tc>
      </w:tr>
    </w:tbl>
    <w:p w14:paraId="55667B0E" w14:textId="013DE55A" w:rsidR="003E11D8" w:rsidRDefault="005079D3" w:rsidP="003E11D8">
      <w:pPr>
        <w:spacing w:line="240" w:lineRule="auto"/>
        <w:contextualSpacing/>
        <w:rPr>
          <w:sz w:val="18"/>
          <w:szCs w:val="24"/>
        </w:rPr>
      </w:pPr>
      <w:r>
        <w:rPr>
          <w:sz w:val="18"/>
          <w:szCs w:val="24"/>
        </w:rPr>
        <w:t>*ID-nummer finner du på metodesiden på n</w:t>
      </w:r>
      <w:r w:rsidR="00D1082E">
        <w:rPr>
          <w:sz w:val="18"/>
          <w:szCs w:val="24"/>
        </w:rPr>
        <w:t>yemetoder.no og har formen ID2020</w:t>
      </w:r>
      <w:r w:rsidR="003E11D8" w:rsidRPr="00614AEB">
        <w:rPr>
          <w:sz w:val="18"/>
          <w:szCs w:val="24"/>
        </w:rPr>
        <w:t>_XX</w:t>
      </w:r>
      <w:r>
        <w:rPr>
          <w:sz w:val="18"/>
          <w:szCs w:val="24"/>
        </w:rPr>
        <w:t>X</w:t>
      </w:r>
    </w:p>
    <w:p w14:paraId="3E94528F" w14:textId="77777777" w:rsidR="00D53539" w:rsidRPr="00485D6B" w:rsidRDefault="00D53539" w:rsidP="003E11D8">
      <w:pPr>
        <w:spacing w:line="240" w:lineRule="auto"/>
        <w:contextualSpacing/>
        <w:rPr>
          <w:sz w:val="1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4678"/>
      </w:tblGrid>
      <w:tr w:rsidR="003E11D8" w14:paraId="242023A4" w14:textId="77777777" w:rsidTr="0086697D">
        <w:tc>
          <w:tcPr>
            <w:tcW w:w="8755" w:type="dxa"/>
            <w:gridSpan w:val="2"/>
          </w:tcPr>
          <w:p w14:paraId="578BAAB1" w14:textId="77777777" w:rsidR="003E11D8" w:rsidRDefault="003E11D8" w:rsidP="0091218A">
            <w:pPr>
              <w:pStyle w:val="Heading3"/>
              <w:spacing w:after="240"/>
              <w:jc w:val="both"/>
              <w:outlineLvl w:val="2"/>
            </w:pPr>
            <w:r w:rsidRPr="001143A3">
              <w:rPr>
                <w:color w:val="auto"/>
              </w:rPr>
              <w:t>2. Opplysninger om den som gir innspill</w:t>
            </w:r>
          </w:p>
        </w:tc>
      </w:tr>
      <w:tr w:rsidR="003E11D8" w14:paraId="3B1C4A5C" w14:textId="77777777" w:rsidTr="0086697D">
        <w:tc>
          <w:tcPr>
            <w:tcW w:w="4077" w:type="dxa"/>
          </w:tcPr>
          <w:p w14:paraId="00040E2B" w14:textId="77777777" w:rsidR="003E11D8" w:rsidRDefault="005079D3" w:rsidP="0086697D">
            <w:r>
              <w:t xml:space="preserve">Navn </w:t>
            </w:r>
          </w:p>
        </w:tc>
        <w:tc>
          <w:tcPr>
            <w:tcW w:w="4678" w:type="dxa"/>
          </w:tcPr>
          <w:p w14:paraId="36A034F4" w14:textId="6D86BB9C" w:rsidR="008639F1" w:rsidRDefault="00CA40C0" w:rsidP="0086697D">
            <w:r>
              <w:t>Eivind Jørgensen</w:t>
            </w:r>
          </w:p>
        </w:tc>
      </w:tr>
      <w:tr w:rsidR="003E11D8" w14:paraId="09E926A0" w14:textId="77777777" w:rsidTr="0086697D">
        <w:tc>
          <w:tcPr>
            <w:tcW w:w="4077" w:type="dxa"/>
          </w:tcPr>
          <w:p w14:paraId="475D8B54" w14:textId="77777777" w:rsidR="003E11D8" w:rsidRDefault="003E11D8" w:rsidP="0086697D">
            <w:r>
              <w:t>Eventuell organisasjon/arbeidsplass</w:t>
            </w:r>
          </w:p>
        </w:tc>
        <w:tc>
          <w:tcPr>
            <w:tcW w:w="4678" w:type="dxa"/>
          </w:tcPr>
          <w:p w14:paraId="6AB70289" w14:textId="150669E1" w:rsidR="008639F1" w:rsidRDefault="00CA40C0" w:rsidP="0086697D">
            <w:r>
              <w:t>Oecona AS</w:t>
            </w:r>
          </w:p>
        </w:tc>
      </w:tr>
      <w:tr w:rsidR="003E11D8" w14:paraId="1BB2B375" w14:textId="77777777" w:rsidTr="0086697D">
        <w:tc>
          <w:tcPr>
            <w:tcW w:w="4077" w:type="dxa"/>
          </w:tcPr>
          <w:p w14:paraId="507B8E55" w14:textId="77777777" w:rsidR="003E11D8" w:rsidRDefault="005079D3" w:rsidP="005079D3">
            <w:r>
              <w:t>Kontaktinformasjon</w:t>
            </w:r>
            <w:r w:rsidR="003E11D8">
              <w:t xml:space="preserve"> (e-post / telefon)</w:t>
            </w:r>
          </w:p>
        </w:tc>
        <w:tc>
          <w:tcPr>
            <w:tcW w:w="4678" w:type="dxa"/>
          </w:tcPr>
          <w:p w14:paraId="2F103449" w14:textId="5710D043" w:rsidR="008639F1" w:rsidRDefault="003E58C3" w:rsidP="0086697D">
            <w:hyperlink r:id="rId11" w:history="1">
              <w:r w:rsidR="003A56FF" w:rsidRPr="00771A0B">
                <w:t>Eivind@oecona.no / 969</w:t>
              </w:r>
            </w:hyperlink>
            <w:r w:rsidR="00CA40C0">
              <w:t xml:space="preserve"> 06 294</w:t>
            </w:r>
          </w:p>
        </w:tc>
      </w:tr>
    </w:tbl>
    <w:p w14:paraId="319B484D" w14:textId="77777777" w:rsidR="003E11D8" w:rsidRPr="00D1082E" w:rsidRDefault="003E11D8" w:rsidP="0091218A">
      <w:pPr>
        <w:pStyle w:val="Heading3"/>
        <w:spacing w:after="240" w:line="240" w:lineRule="auto"/>
        <w:jc w:val="both"/>
        <w:rPr>
          <w:color w:val="auto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C354DD" w:rsidRPr="0091218A" w14:paraId="5EFBD12F" w14:textId="77777777" w:rsidTr="00C354DD">
        <w:tc>
          <w:tcPr>
            <w:tcW w:w="8784" w:type="dxa"/>
          </w:tcPr>
          <w:p w14:paraId="2D317FAD" w14:textId="6DCA16D0" w:rsidR="00C354DD" w:rsidRPr="0091218A" w:rsidRDefault="00702941" w:rsidP="0091218A">
            <w:pPr>
              <w:pStyle w:val="Heading3"/>
              <w:spacing w:after="240"/>
              <w:jc w:val="both"/>
              <w:outlineLvl w:val="2"/>
              <w:rPr>
                <w:color w:val="auto"/>
              </w:rPr>
            </w:pPr>
            <w:r w:rsidRPr="0091218A">
              <w:rPr>
                <w:color w:val="auto"/>
              </w:rPr>
              <w:t xml:space="preserve">3. </w:t>
            </w:r>
            <w:r w:rsidR="00C354DD" w:rsidRPr="0091218A">
              <w:rPr>
                <w:color w:val="auto"/>
              </w:rPr>
              <w:t>Oppsummert innspill til metoden (besvares av alle)</w:t>
            </w:r>
          </w:p>
        </w:tc>
      </w:tr>
      <w:tr w:rsidR="00C354DD" w14:paraId="17D30855" w14:textId="77777777" w:rsidTr="00D1082E">
        <w:trPr>
          <w:trHeight w:val="512"/>
        </w:trPr>
        <w:tc>
          <w:tcPr>
            <w:tcW w:w="8784" w:type="dxa"/>
          </w:tcPr>
          <w:p w14:paraId="594E9883" w14:textId="4C7B66E7" w:rsidR="00C61ECA" w:rsidRPr="00CC7859" w:rsidRDefault="00DD0948" w:rsidP="00193D6A">
            <w:r>
              <w:t>Bestillerforum</w:t>
            </w:r>
            <w:r w:rsidR="00C85C87" w:rsidRPr="00CC7859">
              <w:t xml:space="preserve"> bestemte i </w:t>
            </w:r>
            <w:r w:rsidR="00981F2E" w:rsidRPr="00CC7859">
              <w:t xml:space="preserve">sitt møte den 20.11.2017 at Legemiddelverket skulle gjøre en hurtig metodevurdering av legemiddelet </w:t>
            </w:r>
            <w:r w:rsidR="00DC0C1C" w:rsidRPr="00CC7859">
              <w:t>Besremi</w:t>
            </w:r>
            <w:r w:rsidR="00CC7859" w:rsidRPr="00CC7859">
              <w:t xml:space="preserve"> (ropeginterferon alfa-2b</w:t>
            </w:r>
            <w:r w:rsidR="00CC7859">
              <w:t>)</w:t>
            </w:r>
            <w:r w:rsidR="00DC0C1C" w:rsidRPr="00CC7859">
              <w:t xml:space="preserve">, til behandling av polycytemia vera. </w:t>
            </w:r>
          </w:p>
          <w:p w14:paraId="03965151" w14:textId="38BA5057" w:rsidR="004459E0" w:rsidRPr="00CC7859" w:rsidRDefault="004459E0" w:rsidP="00CC785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</w:pPr>
          </w:p>
          <w:p w14:paraId="5EA8F11F" w14:textId="29172C34" w:rsidR="004459E0" w:rsidRDefault="00597C69" w:rsidP="00CC785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 xml:space="preserve">Markdsføringstillatelse for </w:t>
            </w:r>
            <w:r w:rsidR="004950E2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 xml:space="preserve">indikasjonen </w:t>
            </w:r>
            <w:r w:rsidR="00FD5263" w:rsidRPr="002D6A9A">
              <w:rPr>
                <w:rFonts w:asciiTheme="minorHAnsi" w:hAnsiTheme="minorHAnsi" w:cstheme="minorBidi"/>
                <w:i/>
                <w:iCs/>
                <w:color w:val="auto"/>
                <w:sz w:val="22"/>
                <w:szCs w:val="22"/>
                <w:lang w:val="nb-NO"/>
              </w:rPr>
              <w:t>m</w:t>
            </w:r>
            <w:r w:rsidR="00FE1E15" w:rsidRPr="002D6A9A">
              <w:rPr>
                <w:rFonts w:asciiTheme="minorHAnsi" w:hAnsiTheme="minorHAnsi" w:cstheme="minorBidi"/>
                <w:i/>
                <w:iCs/>
                <w:color w:val="auto"/>
                <w:sz w:val="22"/>
                <w:szCs w:val="22"/>
                <w:lang w:val="nb-NO"/>
              </w:rPr>
              <w:t>onoterapi hos voksne for behandling av polycytemia vera uten symptomatisk splenomegali</w:t>
            </w:r>
            <w:r w:rsidR="00FD5263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 xml:space="preserve">, ble gitt av </w:t>
            </w:r>
            <w:r w:rsidR="00F75E74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>Legemiddelverket</w:t>
            </w:r>
            <w:r w:rsidR="00FD5263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 xml:space="preserve"> </w:t>
            </w:r>
            <w:r w:rsidR="00C23FD2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 xml:space="preserve">den </w:t>
            </w:r>
            <w:r w:rsidR="00F75E74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>15</w:t>
            </w:r>
            <w:r w:rsidR="00C23FD2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 xml:space="preserve">.02.2019. </w:t>
            </w:r>
          </w:p>
          <w:p w14:paraId="790787DA" w14:textId="30F3A28B" w:rsidR="0011422E" w:rsidRDefault="0011422E" w:rsidP="00CC785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</w:pPr>
          </w:p>
          <w:p w14:paraId="5BE7F507" w14:textId="7BA578C6" w:rsidR="00EA4522" w:rsidRPr="00EA4522" w:rsidRDefault="00355798" w:rsidP="00CC785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 xml:space="preserve">På grunn av </w:t>
            </w:r>
            <w:r w:rsidR="00DD2FC3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 xml:space="preserve">Legemiddelverkets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 xml:space="preserve">kapasitetsutfordringer </w:t>
            </w:r>
            <w:r w:rsidR="00023C61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 xml:space="preserve">for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 xml:space="preserve">metodevurderinger, ble det i </w:t>
            </w:r>
            <w:r w:rsidR="00AF0CEC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 xml:space="preserve">2019 bestemt å innføre tiltak som kunne avhjelpe disse utfordringene, </w:t>
            </w:r>
            <w:r w:rsidR="00BB335A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 xml:space="preserve">og sentralt blant disse utfordringene var </w:t>
            </w:r>
            <w:r w:rsidR="00C87624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 xml:space="preserve">beslutningen om å innføre ulike løp for metodevurderingene. Dette var altså før Besremi </w:t>
            </w:r>
            <w:r w:rsidR="00920201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 xml:space="preserve">ble gjort til gjenstand for en metodevurdering. </w:t>
            </w:r>
            <w:r w:rsidR="00F021F5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 xml:space="preserve"> </w:t>
            </w:r>
            <w:r w:rsidR="00FC6C8A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>L</w:t>
            </w:r>
            <w:r w:rsidR="009C7B5E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 xml:space="preserve">øp A </w:t>
            </w:r>
            <w:r w:rsidR="00FC6C8A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 xml:space="preserve">gjelder for metoder der det er tilstrekkelig å </w:t>
            </w:r>
            <w:r w:rsidR="00126A17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>op</w:t>
            </w:r>
            <w:r w:rsidR="009C7B5E" w:rsidRPr="009C7B5E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>psummere effekt og sikkerhet, pasientpopulasjon, plassering i behandlingstilbudet og vise til tidligere alvorlighetsberegning for terapiområdet.</w:t>
            </w:r>
            <w:r w:rsidR="00370F93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 xml:space="preserve"> </w:t>
            </w:r>
          </w:p>
          <w:p w14:paraId="0DAF7B27" w14:textId="21C69FAA" w:rsidR="0011422E" w:rsidRDefault="00370F93" w:rsidP="00CC785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lastRenderedPageBreak/>
              <w:t xml:space="preserve">I løp B </w:t>
            </w:r>
            <w:r w:rsidR="004B03DA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 xml:space="preserve">skal det </w:t>
            </w:r>
            <w:r w:rsidR="00EA4C45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 xml:space="preserve">vurderes om det er sammenlignbar effekt mellom </w:t>
            </w:r>
            <w:r w:rsidR="00876804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 xml:space="preserve">nytt og etablert legemiddel. </w:t>
            </w:r>
            <w:r w:rsidR="00D002A9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>Det er ikke tidl</w:t>
            </w:r>
            <w:r w:rsidR="00A81968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>i</w:t>
            </w:r>
            <w:r w:rsidR="00D002A9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>gere gjort noen metodevurdering</w:t>
            </w:r>
            <w:r w:rsidR="00400E87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>er av polycetemia vera</w:t>
            </w:r>
            <w:r w:rsidR="00A81968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 xml:space="preserve">, og det foreligger dokumentert </w:t>
            </w:r>
            <w:r w:rsidR="00372C6A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 xml:space="preserve">mereffekt </w:t>
            </w:r>
            <w:r w:rsidR="00775E56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 xml:space="preserve">sammenlignet med </w:t>
            </w:r>
            <w:r w:rsidR="00E35163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>standard</w:t>
            </w:r>
            <w:r w:rsidR="00372C6A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 xml:space="preserve"> behandling</w:t>
            </w:r>
            <w:r w:rsidR="004B0C29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 xml:space="preserve"> som </w:t>
            </w:r>
            <w:r w:rsidR="004B0C29" w:rsidRPr="003641EE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>ikke</w:t>
            </w:r>
            <w:r w:rsidR="004B0C29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 xml:space="preserve"> er et etablert legemiddel</w:t>
            </w:r>
            <w:r w:rsidR="00400E87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 xml:space="preserve">, </w:t>
            </w:r>
            <w:r w:rsidR="00E35163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>så</w:t>
            </w:r>
            <w:r w:rsidR="00DD72CC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 xml:space="preserve"> verken</w:t>
            </w:r>
            <w:r w:rsidR="00400E87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 xml:space="preserve"> løp A </w:t>
            </w:r>
            <w:r w:rsidR="00A91475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>(kon</w:t>
            </w:r>
            <w:r w:rsidR="0058417D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>k</w:t>
            </w:r>
            <w:r w:rsidR="00A91475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 xml:space="preserve">urranseutsetting) </w:t>
            </w:r>
            <w:r w:rsidR="007976C2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 xml:space="preserve">eller B </w:t>
            </w:r>
            <w:r w:rsidR="00DD72CC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 xml:space="preserve">(relativ effektvurdering) synes å være aktuelle. </w:t>
            </w:r>
            <w:r w:rsidR="00A91475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 xml:space="preserve"> </w:t>
            </w:r>
            <w:r w:rsidR="00EB55D2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 xml:space="preserve">Av de fire løpene, er det </w:t>
            </w:r>
            <w:r w:rsidR="00DD72CC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 xml:space="preserve">således </w:t>
            </w:r>
            <w:r w:rsidR="00EB55D2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 xml:space="preserve">kun </w:t>
            </w:r>
            <w:r w:rsidR="0045472B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>C (</w:t>
            </w:r>
            <w:r w:rsidR="00D002A9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>k</w:t>
            </w:r>
            <w:r w:rsidR="0045472B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>ostnad per Qaly</w:t>
            </w:r>
            <w:r w:rsidR="00877017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 xml:space="preserve">-analyse) </w:t>
            </w:r>
            <w:r w:rsidR="0045472B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>og D</w:t>
            </w:r>
            <w:r w:rsidR="00877017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 xml:space="preserve"> (forenklet metodevurdering)</w:t>
            </w:r>
            <w:r w:rsidR="00D002A9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 xml:space="preserve"> som er aktuelle for Besremi. </w:t>
            </w:r>
          </w:p>
          <w:p w14:paraId="7131FDC9" w14:textId="3E1ACD0E" w:rsidR="00AE35F6" w:rsidRDefault="00AE35F6" w:rsidP="00CC785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</w:pPr>
          </w:p>
          <w:p w14:paraId="33BDEA52" w14:textId="0232B978" w:rsidR="008639F1" w:rsidRPr="00365999" w:rsidRDefault="002529DD" w:rsidP="00325BDD">
            <w:pPr>
              <w:pStyle w:val="Default"/>
              <w:rPr>
                <w:lang w:val="nb-NO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>Prevalensen av polycytemia vera</w:t>
            </w:r>
            <w:r w:rsidR="00383056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 xml:space="preserve"> i Norge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 xml:space="preserve"> er 9,2 per 100</w:t>
            </w:r>
            <w:r w:rsidR="00383056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> 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>000</w:t>
            </w:r>
            <w:r w:rsidR="00383056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 xml:space="preserve"> (Roaldsnes et al. 2017)</w:t>
            </w:r>
            <w:r w:rsidR="00365999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 xml:space="preserve">. </w:t>
            </w:r>
            <w:r w:rsidR="00365999" w:rsidRPr="00365999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>Metoden er tilkjent orphan drug designation (legemiddel for en sjelden sykdom) i EU</w:t>
            </w:r>
            <w:r w:rsidR="00365999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 xml:space="preserve"> (</w:t>
            </w:r>
            <w:r w:rsidR="00927939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>EMA 2017)</w:t>
            </w:r>
            <w:r w:rsidR="00325BDD">
              <w:rPr>
                <w:rFonts w:asciiTheme="minorHAnsi" w:hAnsiTheme="minorHAnsi" w:cstheme="minorBidi"/>
                <w:color w:val="auto"/>
                <w:sz w:val="22"/>
                <w:szCs w:val="22"/>
                <w:lang w:val="nb-NO"/>
              </w:rPr>
              <w:t xml:space="preserve"> </w:t>
            </w:r>
          </w:p>
        </w:tc>
      </w:tr>
      <w:tr w:rsidR="00936CD2" w14:paraId="5BA8590C" w14:textId="77777777" w:rsidTr="00D1082E">
        <w:trPr>
          <w:trHeight w:val="512"/>
        </w:trPr>
        <w:tc>
          <w:tcPr>
            <w:tcW w:w="8784" w:type="dxa"/>
          </w:tcPr>
          <w:p w14:paraId="38276DB4" w14:textId="77777777" w:rsidR="00936CD2" w:rsidRDefault="00936CD2" w:rsidP="003E11D8"/>
        </w:tc>
      </w:tr>
    </w:tbl>
    <w:p w14:paraId="37F83A09" w14:textId="7C268C89" w:rsidR="00C354DD" w:rsidRDefault="00D1082E" w:rsidP="003E11D8">
      <w:pPr>
        <w:rPr>
          <w:b/>
        </w:rPr>
      </w:pPr>
      <w:r>
        <w:rPr>
          <w:b/>
        </w:rPr>
        <w:br/>
      </w:r>
      <w:r w:rsidR="00C354DD" w:rsidRPr="00C354DD">
        <w:rPr>
          <w:b/>
        </w:rPr>
        <w:t>Nærmere informasjon om metoden</w:t>
      </w:r>
      <w:r w:rsidR="002879D8">
        <w:rPr>
          <w:b/>
        </w:rPr>
        <w:t xml:space="preserve"> og innspill til PICO</w:t>
      </w:r>
      <w:r w:rsidR="00702941">
        <w:rPr>
          <w:b/>
        </w:rPr>
        <w:t>*</w:t>
      </w:r>
    </w:p>
    <w:p w14:paraId="0B50EE81" w14:textId="4B71869E" w:rsidR="00B86B26" w:rsidRPr="00B86B26" w:rsidRDefault="00B86B26" w:rsidP="003E11D8">
      <w:pPr>
        <w:rPr>
          <w:sz w:val="16"/>
          <w:szCs w:val="16"/>
        </w:rPr>
      </w:pPr>
      <w:r w:rsidRPr="00D1082E">
        <w:rPr>
          <w:sz w:val="16"/>
          <w:szCs w:val="16"/>
        </w:rPr>
        <w:t>*PICO er et verktøy for å formulere presise problemstillinger i metodevurderingsarbeid. PICO er en forkortelse for Population/Problem – Intervention – Comparison – Outcome. PICO brukes til å presisere hvilken populasjon/problem som skal studeres, hvilke(t) tiltak (metode/behandling) som skal vurderes, hvilket tiltak</w:t>
      </w:r>
      <w:r w:rsidRPr="00D1082E">
        <w:rPr>
          <w:strike/>
          <w:sz w:val="16"/>
          <w:szCs w:val="16"/>
        </w:rPr>
        <w:t xml:space="preserve"> </w:t>
      </w:r>
      <w:r w:rsidRPr="00D1082E">
        <w:rPr>
          <w:sz w:val="16"/>
          <w:szCs w:val="16"/>
        </w:rPr>
        <w:t xml:space="preserve">det er naturlig å sammenligne med, og hvilke utfall/endepunkter det </w:t>
      </w:r>
      <w:r w:rsidRPr="00D1082E">
        <w:rPr>
          <w:strike/>
          <w:sz w:val="16"/>
          <w:szCs w:val="16"/>
        </w:rPr>
        <w:t>å</w:t>
      </w:r>
      <w:r w:rsidRPr="00D1082E">
        <w:rPr>
          <w:sz w:val="16"/>
          <w:szCs w:val="16"/>
        </w:rPr>
        <w:t xml:space="preserve"> er relevant å måle/vurdere. PICO er viktig for planlegging og gjennomføring av en metodevurdering.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3E11D8" w14:paraId="04D0DCDE" w14:textId="77777777" w:rsidTr="002B3123">
        <w:tc>
          <w:tcPr>
            <w:tcW w:w="8784" w:type="dxa"/>
          </w:tcPr>
          <w:p w14:paraId="48D74076" w14:textId="2223CAC0" w:rsidR="003E11D8" w:rsidRDefault="00702941" w:rsidP="00D1082E">
            <w:pPr>
              <w:pStyle w:val="Heading3"/>
              <w:spacing w:after="240"/>
              <w:jc w:val="both"/>
              <w:outlineLvl w:val="2"/>
            </w:pPr>
            <w:r w:rsidRPr="0091218A">
              <w:rPr>
                <w:color w:val="auto"/>
              </w:rPr>
              <w:t>4</w:t>
            </w:r>
            <w:r w:rsidR="00CE205A" w:rsidRPr="0091218A">
              <w:rPr>
                <w:color w:val="auto"/>
              </w:rPr>
              <w:t>. Kjenner du til</w:t>
            </w:r>
            <w:r w:rsidR="003E11D8" w:rsidRPr="0091218A">
              <w:rPr>
                <w:color w:val="auto"/>
              </w:rPr>
              <w:t xml:space="preserve"> </w:t>
            </w:r>
            <w:r w:rsidR="004C5BF6" w:rsidRPr="0091218A">
              <w:rPr>
                <w:color w:val="auto"/>
              </w:rPr>
              <w:t xml:space="preserve">om </w:t>
            </w:r>
            <w:r w:rsidR="003E11D8" w:rsidRPr="0091218A">
              <w:rPr>
                <w:color w:val="auto"/>
              </w:rPr>
              <w:t>metoden</w:t>
            </w:r>
            <w:r w:rsidR="00CE205A" w:rsidRPr="0091218A">
              <w:rPr>
                <w:color w:val="auto"/>
              </w:rPr>
              <w:t xml:space="preserve"> er i bruk</w:t>
            </w:r>
            <w:r w:rsidR="003E11D8" w:rsidRPr="0091218A">
              <w:rPr>
                <w:color w:val="auto"/>
              </w:rPr>
              <w:t xml:space="preserve"> i Norge i dag?</w:t>
            </w:r>
            <w:r w:rsidR="003E11D8" w:rsidRPr="001143A3">
              <w:t xml:space="preserve"> </w:t>
            </w:r>
          </w:p>
        </w:tc>
      </w:tr>
      <w:tr w:rsidR="003E11D8" w14:paraId="6FAB4BB9" w14:textId="77777777" w:rsidTr="00886074">
        <w:trPr>
          <w:trHeight w:val="362"/>
        </w:trPr>
        <w:tc>
          <w:tcPr>
            <w:tcW w:w="8784" w:type="dxa"/>
          </w:tcPr>
          <w:p w14:paraId="6B6DD5AD" w14:textId="4F6FF4B1" w:rsidR="003E11D8" w:rsidRDefault="00E707C4" w:rsidP="0086697D">
            <w:r>
              <w:t>Metoden er ikke i bruk i Norge i dag</w:t>
            </w:r>
            <w:r w:rsidR="00C633BE">
              <w:t>.</w:t>
            </w:r>
          </w:p>
        </w:tc>
      </w:tr>
    </w:tbl>
    <w:p w14:paraId="2CEEA5E5" w14:textId="77777777" w:rsidR="00D53539" w:rsidRPr="00D53539" w:rsidRDefault="00D53539" w:rsidP="003E11D8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</w:tblGrid>
      <w:tr w:rsidR="00643E8D" w14:paraId="63929A32" w14:textId="77777777" w:rsidTr="00643E8D">
        <w:tc>
          <w:tcPr>
            <w:tcW w:w="8613" w:type="dxa"/>
          </w:tcPr>
          <w:p w14:paraId="08E5664F" w14:textId="172517FB" w:rsidR="00643E8D" w:rsidRDefault="00702941" w:rsidP="0091218A">
            <w:pPr>
              <w:pStyle w:val="Heading3"/>
              <w:spacing w:after="240"/>
              <w:jc w:val="both"/>
              <w:outlineLvl w:val="2"/>
            </w:pPr>
            <w:r>
              <w:rPr>
                <w:color w:val="auto"/>
              </w:rPr>
              <w:t>5</w:t>
            </w:r>
            <w:r w:rsidR="00643E8D" w:rsidRPr="001143A3">
              <w:rPr>
                <w:color w:val="auto"/>
              </w:rPr>
              <w:t xml:space="preserve">. </w:t>
            </w:r>
            <w:r>
              <w:rPr>
                <w:color w:val="auto"/>
              </w:rPr>
              <w:t>Hvilken pasientgruppe</w:t>
            </w:r>
            <w:r w:rsidR="00643E8D">
              <w:rPr>
                <w:color w:val="auto"/>
              </w:rPr>
              <w:t xml:space="preserve"> i den </w:t>
            </w:r>
            <w:r w:rsidR="00643E8D" w:rsidRPr="001143A3">
              <w:rPr>
                <w:color w:val="auto"/>
              </w:rPr>
              <w:t>norske spesialisthelsetjenesten</w:t>
            </w:r>
            <w:r w:rsidR="00643E8D">
              <w:rPr>
                <w:color w:val="auto"/>
              </w:rPr>
              <w:t xml:space="preserve"> er metoden aktuell for</w:t>
            </w:r>
            <w:r w:rsidR="00643E8D" w:rsidRPr="001143A3">
              <w:rPr>
                <w:color w:val="auto"/>
              </w:rPr>
              <w:t>?</w:t>
            </w:r>
            <w:r w:rsidR="00643E8D">
              <w:rPr>
                <w:color w:val="auto"/>
              </w:rPr>
              <w:t xml:space="preserve"> (</w:t>
            </w:r>
            <w:r w:rsidR="00643E8D" w:rsidRPr="00885EFB">
              <w:rPr>
                <w:color w:val="auto"/>
                <w:u w:val="single"/>
              </w:rPr>
              <w:t>P</w:t>
            </w:r>
            <w:r w:rsidR="00643E8D">
              <w:rPr>
                <w:color w:val="auto"/>
              </w:rPr>
              <w:t>ICO)</w:t>
            </w:r>
          </w:p>
        </w:tc>
      </w:tr>
      <w:tr w:rsidR="00643E8D" w14:paraId="3110D1F4" w14:textId="77777777" w:rsidTr="00643E8D">
        <w:trPr>
          <w:trHeight w:val="501"/>
        </w:trPr>
        <w:tc>
          <w:tcPr>
            <w:tcW w:w="8613" w:type="dxa"/>
          </w:tcPr>
          <w:p w14:paraId="0A326488" w14:textId="7EA9A1AF" w:rsidR="00643E8D" w:rsidRDefault="00C633BE" w:rsidP="00276A38">
            <w:r>
              <w:t xml:space="preserve">Metoden er aktuell for pasienter med </w:t>
            </w:r>
            <w:r w:rsidR="00300696" w:rsidRPr="00300696">
              <w:t>polycytemia vera uten symptomatisk splenomegali</w:t>
            </w:r>
            <w:r w:rsidR="00300696">
              <w:t>.</w:t>
            </w:r>
          </w:p>
          <w:p w14:paraId="4A476C41" w14:textId="77777777" w:rsidR="00643E8D" w:rsidRDefault="00643E8D" w:rsidP="00276A38"/>
        </w:tc>
      </w:tr>
    </w:tbl>
    <w:p w14:paraId="4438F0FD" w14:textId="77777777" w:rsidR="00702941" w:rsidRDefault="007029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E11D8" w14:paraId="63FC1370" w14:textId="77777777" w:rsidTr="0086697D">
        <w:tc>
          <w:tcPr>
            <w:tcW w:w="8613" w:type="dxa"/>
          </w:tcPr>
          <w:p w14:paraId="1E209B8C" w14:textId="0DC26343" w:rsidR="003E11D8" w:rsidRDefault="00702941" w:rsidP="0091218A">
            <w:pPr>
              <w:pStyle w:val="Heading3"/>
              <w:spacing w:after="240"/>
              <w:jc w:val="both"/>
              <w:outlineLvl w:val="2"/>
            </w:pPr>
            <w:r>
              <w:rPr>
                <w:color w:val="auto"/>
              </w:rPr>
              <w:t>6</w:t>
            </w:r>
            <w:r w:rsidR="00643E8D">
              <w:rPr>
                <w:color w:val="auto"/>
              </w:rPr>
              <w:t>.</w:t>
            </w:r>
            <w:r>
              <w:rPr>
                <w:color w:val="auto"/>
              </w:rPr>
              <w:t xml:space="preserve"> Er du </w:t>
            </w:r>
            <w:r w:rsidR="003E11D8" w:rsidRPr="001143A3">
              <w:rPr>
                <w:color w:val="auto"/>
              </w:rPr>
              <w:t>kjent med behandlingsalternativer til</w:t>
            </w:r>
            <w:r w:rsidR="009C40CB">
              <w:rPr>
                <w:color w:val="auto"/>
              </w:rPr>
              <w:t xml:space="preserve"> denne</w:t>
            </w:r>
            <w:r w:rsidR="003E11D8" w:rsidRPr="001143A3">
              <w:rPr>
                <w:color w:val="auto"/>
              </w:rPr>
              <w:t xml:space="preserve"> metoden </w:t>
            </w:r>
            <w:r w:rsidR="00C354DD">
              <w:rPr>
                <w:color w:val="auto"/>
              </w:rPr>
              <w:t>og hvordan disse fungerer</w:t>
            </w:r>
            <w:r w:rsidR="009C40CB">
              <w:rPr>
                <w:color w:val="auto"/>
              </w:rPr>
              <w:t xml:space="preserve"> for pasientgruppen</w:t>
            </w:r>
            <w:r>
              <w:rPr>
                <w:color w:val="auto"/>
              </w:rPr>
              <w:t xml:space="preserve"> i dag</w:t>
            </w:r>
            <w:r w:rsidR="009C40CB">
              <w:rPr>
                <w:color w:val="auto"/>
              </w:rPr>
              <w:t>?</w:t>
            </w:r>
            <w:r w:rsidR="0025054C">
              <w:rPr>
                <w:color w:val="auto"/>
              </w:rPr>
              <w:t xml:space="preserve"> (</w:t>
            </w:r>
            <w:r w:rsidR="0025054C" w:rsidRPr="002879D8">
              <w:rPr>
                <w:color w:val="auto"/>
              </w:rPr>
              <w:t>PI</w:t>
            </w:r>
            <w:r w:rsidR="0025054C" w:rsidRPr="008B4F91">
              <w:rPr>
                <w:color w:val="auto"/>
                <w:u w:val="single"/>
              </w:rPr>
              <w:t>C</w:t>
            </w:r>
            <w:r w:rsidR="0025054C" w:rsidRPr="002879D8">
              <w:rPr>
                <w:color w:val="auto"/>
              </w:rPr>
              <w:t>O</w:t>
            </w:r>
            <w:r w:rsidR="0025054C">
              <w:rPr>
                <w:color w:val="auto"/>
              </w:rPr>
              <w:t>)</w:t>
            </w:r>
          </w:p>
        </w:tc>
      </w:tr>
      <w:tr w:rsidR="003E11D8" w:rsidRPr="00D670A4" w14:paraId="2D13E9C4" w14:textId="77777777" w:rsidTr="00643E8D">
        <w:trPr>
          <w:trHeight w:val="406"/>
        </w:trPr>
        <w:tc>
          <w:tcPr>
            <w:tcW w:w="8613" w:type="dxa"/>
          </w:tcPr>
          <w:p w14:paraId="1A618B24" w14:textId="3F0F6E15" w:rsidR="009C40CB" w:rsidRDefault="000C334C" w:rsidP="00C61ECA">
            <w:r>
              <w:t xml:space="preserve">Det finnes ingen medikamentell behandling av polycytemia vera som </w:t>
            </w:r>
            <w:r w:rsidR="0071359B">
              <w:t>har blitt gjort til gjenstand for en hurtig metodevurdering.</w:t>
            </w:r>
          </w:p>
          <w:p w14:paraId="7E33BF84" w14:textId="1AA6CEF3" w:rsidR="00B305A2" w:rsidRPr="007D5C8C" w:rsidRDefault="00B305A2" w:rsidP="00B305A2">
            <w:pPr>
              <w:rPr>
                <w:b/>
                <w:bCs/>
              </w:rPr>
            </w:pPr>
            <w:r w:rsidRPr="007D5C8C">
              <w:rPr>
                <w:b/>
                <w:bCs/>
              </w:rPr>
              <w:t xml:space="preserve">Populasjon: </w:t>
            </w:r>
            <w:r w:rsidRPr="007D5C8C">
              <w:t xml:space="preserve">Pasienter med </w:t>
            </w:r>
            <w:r w:rsidR="007D5C8C" w:rsidRPr="007D5C8C">
              <w:t>polycytemia vera</w:t>
            </w:r>
            <w:r w:rsidRPr="007D5C8C">
              <w:t>.</w:t>
            </w:r>
            <w:r w:rsidRPr="007D5C8C">
              <w:rPr>
                <w:b/>
                <w:bCs/>
              </w:rPr>
              <w:t xml:space="preserve"> </w:t>
            </w:r>
          </w:p>
          <w:p w14:paraId="224730ED" w14:textId="7C6151B2" w:rsidR="00B305A2" w:rsidRPr="000E0076" w:rsidRDefault="007D5C8C" w:rsidP="00B305A2">
            <w:r w:rsidRPr="00B57F48">
              <w:rPr>
                <w:b/>
                <w:bCs/>
              </w:rPr>
              <w:t>Intervensjon</w:t>
            </w:r>
            <w:r w:rsidR="00B305A2" w:rsidRPr="00B57F48">
              <w:rPr>
                <w:b/>
                <w:bCs/>
              </w:rPr>
              <w:t>:</w:t>
            </w:r>
            <w:r w:rsidR="00257E2B">
              <w:rPr>
                <w:b/>
                <w:bCs/>
              </w:rPr>
              <w:t xml:space="preserve"> </w:t>
            </w:r>
            <w:r w:rsidR="00DA2A08" w:rsidRPr="00DA2A08">
              <w:t>Besremi</w:t>
            </w:r>
          </w:p>
          <w:p w14:paraId="17050A4B" w14:textId="3B29D2E6" w:rsidR="00046A13" w:rsidRDefault="00B305A2" w:rsidP="00B305A2">
            <w:r w:rsidRPr="008D709B">
              <w:rPr>
                <w:b/>
                <w:bCs/>
              </w:rPr>
              <w:t xml:space="preserve">Comparator: </w:t>
            </w:r>
            <w:r w:rsidR="000C18A2" w:rsidRPr="00CA3B6F">
              <w:t>Ruxolitinib</w:t>
            </w:r>
            <w:r w:rsidR="000C18A2" w:rsidRPr="00257E2B">
              <w:t xml:space="preserve"> </w:t>
            </w:r>
            <w:r w:rsidR="00CF6119">
              <w:t>(</w:t>
            </w:r>
            <w:r w:rsidR="00414E36" w:rsidRPr="00257E2B">
              <w:t>Jakavi</w:t>
            </w:r>
            <w:r w:rsidR="00CF6119">
              <w:t>)</w:t>
            </w:r>
            <w:r w:rsidR="00414E36" w:rsidRPr="00257E2B">
              <w:t xml:space="preserve"> og Pegintererfon </w:t>
            </w:r>
            <w:r w:rsidR="007D1A84">
              <w:t xml:space="preserve">alfa-2a </w:t>
            </w:r>
            <w:r w:rsidR="00414E36" w:rsidRPr="00257E2B">
              <w:t>(Pegasys</w:t>
            </w:r>
            <w:r w:rsidR="00414E36" w:rsidRPr="00503312">
              <w:t xml:space="preserve">) </w:t>
            </w:r>
            <w:r w:rsidR="00414E36">
              <w:t xml:space="preserve">er begge nevnt som behandlingsalternativer i </w:t>
            </w:r>
            <w:r w:rsidR="00414E36" w:rsidRPr="00CA3B6F">
              <w:t>Nasjonalt handlingsprogram med retningslinjer for diagnostikk, behandling og oppfølging av maligne blodsykdommer</w:t>
            </w:r>
            <w:r w:rsidR="00414E36">
              <w:t xml:space="preserve"> (Helsedirektoratet 2018) Etter det vi forstår er Pegasys, som ikke har indikasjonen, benyttet off label. Dette produktet er varslet å skulle trekkes fra markedet. Jakavi er ikke gjort til gjenstand for en metodevurderinger. </w:t>
            </w:r>
            <w:r w:rsidR="00FC49FB">
              <w:t>H</w:t>
            </w:r>
            <w:r w:rsidR="00414E36">
              <w:t xml:space="preserve">ydroxurea er nevnt </w:t>
            </w:r>
            <w:r w:rsidR="00FC49FB">
              <w:t xml:space="preserve">som førstevalg i </w:t>
            </w:r>
            <w:r w:rsidR="00414E36">
              <w:t>behandlingsretingslinjene</w:t>
            </w:r>
            <w:r w:rsidR="00D60E88">
              <w:t xml:space="preserve"> for pasienter over 75år</w:t>
            </w:r>
            <w:r w:rsidR="00414E36">
              <w:t xml:space="preserve">. </w:t>
            </w:r>
          </w:p>
          <w:p w14:paraId="70A9D004" w14:textId="77777777" w:rsidR="00F12116" w:rsidRPr="00CA3B6F" w:rsidRDefault="00F12116" w:rsidP="00B305A2"/>
          <w:p w14:paraId="202CC53F" w14:textId="68B982DF" w:rsidR="00B305A2" w:rsidRPr="00F37C78" w:rsidRDefault="00C77206" w:rsidP="00B305A2">
            <w:pPr>
              <w:rPr>
                <w:b/>
                <w:bCs/>
              </w:rPr>
            </w:pPr>
            <w:r w:rsidRPr="008D709B">
              <w:t xml:space="preserve">Retningslinjene </w:t>
            </w:r>
            <w:r w:rsidR="008D709B" w:rsidRPr="008D709B">
              <w:t>anbefaler</w:t>
            </w:r>
            <w:r w:rsidR="00B305A2" w:rsidRPr="008D709B">
              <w:t xml:space="preserve"> interferon </w:t>
            </w:r>
            <w:r w:rsidR="007663D7">
              <w:t>alfa</w:t>
            </w:r>
            <w:r w:rsidR="00B305A2" w:rsidRPr="008D709B">
              <w:t xml:space="preserve"> </w:t>
            </w:r>
            <w:r w:rsidR="008D709B" w:rsidRPr="008D709B">
              <w:t>som første valg for pa</w:t>
            </w:r>
            <w:r w:rsidR="008D709B">
              <w:t xml:space="preserve">sienter </w:t>
            </w:r>
            <w:r w:rsidR="00B305A2" w:rsidRPr="008D709B">
              <w:t xml:space="preserve">&lt; 60 – 65 </w:t>
            </w:r>
            <w:r w:rsidR="007663D7">
              <w:t>år</w:t>
            </w:r>
            <w:r w:rsidR="00B305A2" w:rsidRPr="008D709B">
              <w:t xml:space="preserve">, hydroxurea </w:t>
            </w:r>
            <w:r w:rsidR="008D709B">
              <w:t xml:space="preserve">som </w:t>
            </w:r>
            <w:r w:rsidR="00915BA3">
              <w:t xml:space="preserve">andre valg og </w:t>
            </w:r>
            <w:r w:rsidR="00B305A2" w:rsidRPr="008D709B">
              <w:t xml:space="preserve">ruxolitinib </w:t>
            </w:r>
            <w:r w:rsidR="00E57645">
              <w:t>som tredje</w:t>
            </w:r>
            <w:r w:rsidR="00B305A2" w:rsidRPr="008D709B">
              <w:t xml:space="preserve">. </w:t>
            </w:r>
            <w:r w:rsidR="00EC16CB">
              <w:t>For pasienter</w:t>
            </w:r>
            <w:r w:rsidR="00EC16CB" w:rsidRPr="00096193">
              <w:t xml:space="preserve"> 60-65 til 75 år anbefales hydroxyurea eller interferon-α som førstevalg, ruxolitinib som andrevalg.</w:t>
            </w:r>
            <w:r w:rsidR="00EC16CB" w:rsidRPr="008D709B">
              <w:t xml:space="preserve"> </w:t>
            </w:r>
            <w:r w:rsidR="00EC16CB">
              <w:t xml:space="preserve"> </w:t>
            </w:r>
            <w:r w:rsidR="00B305A2" w:rsidRPr="004A4CAD">
              <w:t xml:space="preserve">For </w:t>
            </w:r>
            <w:r w:rsidR="00E57645" w:rsidRPr="004A4CAD">
              <w:t xml:space="preserve">pasienter </w:t>
            </w:r>
            <w:r w:rsidR="00B305A2" w:rsidRPr="004A4CAD">
              <w:t>&gt;</w:t>
            </w:r>
            <w:r w:rsidR="00E57645" w:rsidRPr="004A4CAD">
              <w:t xml:space="preserve"> </w:t>
            </w:r>
            <w:r w:rsidR="00B305A2" w:rsidRPr="004A4CAD">
              <w:t xml:space="preserve">75 </w:t>
            </w:r>
            <w:r w:rsidR="00E57645" w:rsidRPr="004A4CAD">
              <w:t>år er</w:t>
            </w:r>
            <w:r w:rsidR="00B305A2" w:rsidRPr="004A4CAD">
              <w:t xml:space="preserve"> hydroxurea</w:t>
            </w:r>
            <w:r w:rsidR="00E57645" w:rsidRPr="004A4CAD">
              <w:t xml:space="preserve"> første valg</w:t>
            </w:r>
            <w:r w:rsidR="00B305A2" w:rsidRPr="004A4CAD">
              <w:t xml:space="preserve">, interferon </w:t>
            </w:r>
            <w:r w:rsidR="004539C1" w:rsidRPr="00CA3B6F">
              <w:t xml:space="preserve">eller ruxolitinib eventuelt kombinasjonsbehandling (hydroxyurea-anagrelide, hydroxyurea- interferon-α, interferon- α + anagrelide) </w:t>
            </w:r>
            <w:r w:rsidR="004A4CAD" w:rsidRPr="004A4CAD">
              <w:t>andr</w:t>
            </w:r>
            <w:r w:rsidR="004A4CAD">
              <w:t>e valg</w:t>
            </w:r>
            <w:r w:rsidR="00B305A2" w:rsidRPr="004A4CAD">
              <w:t xml:space="preserve">.  </w:t>
            </w:r>
            <w:r w:rsidR="005F4DCC">
              <w:t>Retni</w:t>
            </w:r>
            <w:r w:rsidR="00F12116">
              <w:t>n</w:t>
            </w:r>
            <w:r w:rsidR="005F4DCC">
              <w:t xml:space="preserve">gslinjene for helseøkonomiske analyser slår fast at det er det legemiddelet som i størst </w:t>
            </w:r>
            <w:r w:rsidR="005F4DCC">
              <w:lastRenderedPageBreak/>
              <w:t xml:space="preserve">grad fortrenges som skal være komparator. </w:t>
            </w:r>
            <w:r w:rsidR="00A33F72">
              <w:t>For pasienter som er intolerante eller</w:t>
            </w:r>
            <w:r w:rsidR="000750CD">
              <w:t xml:space="preserve"> er resistent til behandling </w:t>
            </w:r>
            <w:r w:rsidR="00AB5306">
              <w:t xml:space="preserve">med hydroxurea, er det vår oppfatnig at dette </w:t>
            </w:r>
            <w:r w:rsidR="00150D68">
              <w:t>må</w:t>
            </w:r>
            <w:r w:rsidR="00AB5306">
              <w:t xml:space="preserve"> </w:t>
            </w:r>
            <w:r w:rsidR="005F4DCC">
              <w:t>være Jakavi</w:t>
            </w:r>
            <w:r w:rsidR="00AB5306">
              <w:t xml:space="preserve"> til tross for den manglende metodevurderingen</w:t>
            </w:r>
            <w:r w:rsidR="005F4DCC">
              <w:t>.</w:t>
            </w:r>
          </w:p>
          <w:p w14:paraId="7097D0DC" w14:textId="2D58EE64" w:rsidR="00B305A2" w:rsidRPr="00D670A4" w:rsidRDefault="00B305A2" w:rsidP="00B305A2">
            <w:r w:rsidRPr="00D670A4">
              <w:rPr>
                <w:b/>
                <w:bCs/>
              </w:rPr>
              <w:t xml:space="preserve">Outcome: </w:t>
            </w:r>
            <w:r w:rsidRPr="00D670A4">
              <w:t>T</w:t>
            </w:r>
            <w:r w:rsidR="00C3259A" w:rsidRPr="00D670A4">
              <w:t>rombotiske komplikasjoner</w:t>
            </w:r>
            <w:r w:rsidRPr="00D670A4">
              <w:t xml:space="preserve">, </w:t>
            </w:r>
            <w:r w:rsidR="00D670A4">
              <w:t xml:space="preserve">miltstørrelse og helserelatert livskvalitet </w:t>
            </w:r>
            <w:r w:rsidR="00DB383C">
              <w:t>kan være</w:t>
            </w:r>
            <w:r w:rsidR="00D670A4">
              <w:t xml:space="preserve"> aktuel</w:t>
            </w:r>
            <w:r w:rsidR="00DB383C">
              <w:t xml:space="preserve">le effektparametere. </w:t>
            </w:r>
            <w:r w:rsidRPr="00D670A4">
              <w:t xml:space="preserve"> </w:t>
            </w:r>
          </w:p>
          <w:p w14:paraId="4AD6CA18" w14:textId="2A1FA09E" w:rsidR="0091218A" w:rsidRPr="00D670A4" w:rsidRDefault="0091218A" w:rsidP="00C61ECA"/>
        </w:tc>
      </w:tr>
      <w:tr w:rsidR="00A33F72" w:rsidRPr="00D670A4" w14:paraId="774DBFD6" w14:textId="77777777" w:rsidTr="00643E8D">
        <w:trPr>
          <w:trHeight w:val="406"/>
        </w:trPr>
        <w:tc>
          <w:tcPr>
            <w:tcW w:w="8613" w:type="dxa"/>
          </w:tcPr>
          <w:p w14:paraId="225378CB" w14:textId="77777777" w:rsidR="00A33F72" w:rsidRDefault="00A33F72" w:rsidP="00C61ECA"/>
        </w:tc>
      </w:tr>
    </w:tbl>
    <w:p w14:paraId="70F4CB22" w14:textId="0A7470A3" w:rsidR="00C354DD" w:rsidRPr="00D670A4" w:rsidRDefault="00C354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</w:tblGrid>
      <w:tr w:rsidR="0025054C" w14:paraId="12B87190" w14:textId="77777777" w:rsidTr="0025054C">
        <w:tc>
          <w:tcPr>
            <w:tcW w:w="8613" w:type="dxa"/>
          </w:tcPr>
          <w:p w14:paraId="3508191E" w14:textId="4ED6C988" w:rsidR="008B4F91" w:rsidRPr="002B3123" w:rsidRDefault="00B17578" w:rsidP="002B3123">
            <w:pPr>
              <w:pStyle w:val="Heading3"/>
              <w:spacing w:after="240"/>
              <w:outlineLvl w:val="2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25054C" w:rsidRPr="001143A3">
              <w:rPr>
                <w:color w:val="auto"/>
              </w:rPr>
              <w:t xml:space="preserve">. </w:t>
            </w:r>
            <w:r w:rsidR="0025054C">
              <w:rPr>
                <w:color w:val="auto"/>
              </w:rPr>
              <w:t>Har du innspill til hva som vil være viktig for</w:t>
            </w:r>
            <w:r w:rsidR="00643E8D">
              <w:rPr>
                <w:color w:val="auto"/>
              </w:rPr>
              <w:t xml:space="preserve"> pasienter som er aktuelle for behandling med metoden?</w:t>
            </w:r>
            <w:r w:rsidR="0025054C">
              <w:rPr>
                <w:color w:val="auto"/>
              </w:rPr>
              <w:t xml:space="preserve"> (</w:t>
            </w:r>
            <w:r w:rsidR="0025054C" w:rsidRPr="008B4F91">
              <w:rPr>
                <w:color w:val="auto"/>
              </w:rPr>
              <w:t>PIC</w:t>
            </w:r>
            <w:r w:rsidR="0025054C" w:rsidRPr="008B4F91">
              <w:rPr>
                <w:color w:val="auto"/>
                <w:u w:val="single"/>
              </w:rPr>
              <w:t>O</w:t>
            </w:r>
            <w:r w:rsidR="0025054C" w:rsidRPr="008B4F91">
              <w:rPr>
                <w:color w:val="auto"/>
              </w:rPr>
              <w:t>)</w:t>
            </w:r>
          </w:p>
        </w:tc>
      </w:tr>
      <w:tr w:rsidR="0025054C" w14:paraId="2285AD35" w14:textId="77777777" w:rsidTr="0025054C">
        <w:trPr>
          <w:trHeight w:val="501"/>
        </w:trPr>
        <w:tc>
          <w:tcPr>
            <w:tcW w:w="8613" w:type="dxa"/>
          </w:tcPr>
          <w:p w14:paraId="146DF5B6" w14:textId="60F0BF32" w:rsidR="009557C4" w:rsidRPr="009557C4" w:rsidRDefault="0063299A" w:rsidP="009112AF">
            <w:r>
              <w:t xml:space="preserve">I tillegg til at </w:t>
            </w:r>
            <w:r w:rsidR="009557C4">
              <w:t xml:space="preserve">sykdommen medfører økt dødelighet, har den også som konsekvens betydelig reduksjon i livskvalitet. Dette er knyttet til </w:t>
            </w:r>
            <w:r w:rsidR="00A62873">
              <w:t>bl.a.</w:t>
            </w:r>
            <w:r w:rsidR="009557C4">
              <w:t xml:space="preserve"> </w:t>
            </w:r>
            <w:r w:rsidR="009557C4" w:rsidRPr="009557C4">
              <w:t>tretthet/utmattelse</w:t>
            </w:r>
            <w:r w:rsidR="009112AF">
              <w:t>,</w:t>
            </w:r>
            <w:r w:rsidR="009557C4">
              <w:t xml:space="preserve"> </w:t>
            </w:r>
            <w:r w:rsidR="009557C4" w:rsidRPr="009557C4">
              <w:t>kløe</w:t>
            </w:r>
            <w:r w:rsidR="009112AF">
              <w:t xml:space="preserve">, </w:t>
            </w:r>
            <w:r w:rsidR="009557C4" w:rsidRPr="009557C4">
              <w:t>nattesvette</w:t>
            </w:r>
            <w:r w:rsidR="009112AF">
              <w:t xml:space="preserve">, </w:t>
            </w:r>
            <w:r w:rsidR="009557C4" w:rsidRPr="009557C4">
              <w:t>skjelettsmerter</w:t>
            </w:r>
            <w:r w:rsidR="009112AF">
              <w:t xml:space="preserve"> og </w:t>
            </w:r>
            <w:r w:rsidR="00A62873">
              <w:t>splenomegali.</w:t>
            </w:r>
          </w:p>
          <w:p w14:paraId="3D37D8D1" w14:textId="59EEADC5" w:rsidR="002B3123" w:rsidRDefault="002B3123" w:rsidP="00A62873">
            <w:pPr>
              <w:ind w:left="1080"/>
            </w:pPr>
          </w:p>
        </w:tc>
      </w:tr>
    </w:tbl>
    <w:p w14:paraId="5C17607C" w14:textId="77777777" w:rsidR="00643E8D" w:rsidRDefault="00643E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</w:tblGrid>
      <w:tr w:rsidR="00C354DD" w:rsidRPr="007835B6" w14:paraId="7C3AF83A" w14:textId="77777777" w:rsidTr="00C354DD">
        <w:trPr>
          <w:trHeight w:val="314"/>
        </w:trPr>
        <w:tc>
          <w:tcPr>
            <w:tcW w:w="8613" w:type="dxa"/>
          </w:tcPr>
          <w:p w14:paraId="7A21C2CC" w14:textId="079794EA" w:rsidR="002B3123" w:rsidRPr="002B3123" w:rsidRDefault="00B17578" w:rsidP="002B3123">
            <w:pPr>
              <w:pStyle w:val="Heading3"/>
              <w:spacing w:after="240"/>
              <w:outlineLvl w:val="2"/>
              <w:rPr>
                <w:color w:val="auto"/>
              </w:rPr>
            </w:pPr>
            <w:r w:rsidRPr="0091218A">
              <w:rPr>
                <w:color w:val="auto"/>
              </w:rPr>
              <w:t>8</w:t>
            </w:r>
            <w:r w:rsidR="00C354DD" w:rsidRPr="0091218A">
              <w:rPr>
                <w:color w:val="auto"/>
              </w:rPr>
              <w:t>. Spesielt for medisinsk utstyr (besvares av leverandør)</w:t>
            </w:r>
            <w:r w:rsidR="002B3123">
              <w:rPr>
                <w:color w:val="auto"/>
              </w:rPr>
              <w:t>: CE-merking</w:t>
            </w:r>
          </w:p>
        </w:tc>
      </w:tr>
      <w:tr w:rsidR="00C354DD" w:rsidRPr="00671092" w14:paraId="4F198752" w14:textId="77777777" w:rsidTr="0091218A">
        <w:trPr>
          <w:trHeight w:val="324"/>
        </w:trPr>
        <w:tc>
          <w:tcPr>
            <w:tcW w:w="8613" w:type="dxa"/>
          </w:tcPr>
          <w:p w14:paraId="6C0403B4" w14:textId="20DE35F3" w:rsidR="002B3123" w:rsidRPr="00671092" w:rsidRDefault="00A62873" w:rsidP="002B3123">
            <w:pPr>
              <w:rPr>
                <w:i/>
              </w:rPr>
            </w:pPr>
            <w:r>
              <w:t>n/a</w:t>
            </w:r>
          </w:p>
          <w:p w14:paraId="0C8B17B7" w14:textId="73835D55" w:rsidR="00821413" w:rsidRPr="00671092" w:rsidRDefault="00821413" w:rsidP="00350F86"/>
        </w:tc>
      </w:tr>
    </w:tbl>
    <w:p w14:paraId="21692557" w14:textId="77777777" w:rsidR="003E11D8" w:rsidRDefault="003E11D8" w:rsidP="003E11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</w:tblGrid>
      <w:tr w:rsidR="005079D3" w14:paraId="3DDABBD8" w14:textId="77777777" w:rsidTr="005079D3">
        <w:tc>
          <w:tcPr>
            <w:tcW w:w="8613" w:type="dxa"/>
          </w:tcPr>
          <w:p w14:paraId="59CA3832" w14:textId="2BDC2C0B" w:rsidR="002B3123" w:rsidRPr="002B3123" w:rsidRDefault="00B17578" w:rsidP="002B3123">
            <w:pPr>
              <w:pStyle w:val="Heading3"/>
              <w:spacing w:after="240"/>
              <w:outlineLvl w:val="2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5079D3">
              <w:rPr>
                <w:color w:val="auto"/>
              </w:rPr>
              <w:t xml:space="preserve">. Spesielt for legemidler </w:t>
            </w:r>
            <w:r w:rsidR="00C354DD">
              <w:rPr>
                <w:color w:val="auto"/>
              </w:rPr>
              <w:t>(besvares av leverandør)</w:t>
            </w:r>
            <w:r w:rsidR="002B3123">
              <w:rPr>
                <w:color w:val="auto"/>
              </w:rPr>
              <w:t>: Markedsføringstillatelse (MT)</w:t>
            </w:r>
          </w:p>
        </w:tc>
      </w:tr>
      <w:tr w:rsidR="005079D3" w14:paraId="4C9352D1" w14:textId="77777777" w:rsidTr="00643E8D">
        <w:trPr>
          <w:trHeight w:val="725"/>
        </w:trPr>
        <w:tc>
          <w:tcPr>
            <w:tcW w:w="8613" w:type="dxa"/>
          </w:tcPr>
          <w:p w14:paraId="0B65139B" w14:textId="253B3294" w:rsidR="005079D3" w:rsidRDefault="00827726" w:rsidP="00350F86">
            <w:r>
              <w:t>Ja.</w:t>
            </w:r>
          </w:p>
          <w:p w14:paraId="0ADFF3A9" w14:textId="77777777" w:rsidR="009C40CB" w:rsidRDefault="009C40CB" w:rsidP="00350F86"/>
        </w:tc>
      </w:tr>
    </w:tbl>
    <w:p w14:paraId="4ADCED26" w14:textId="77777777" w:rsidR="00C354DD" w:rsidRDefault="00C354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E11D8" w14:paraId="665DA656" w14:textId="77777777" w:rsidTr="0086697D">
        <w:tc>
          <w:tcPr>
            <w:tcW w:w="8613" w:type="dxa"/>
          </w:tcPr>
          <w:p w14:paraId="1882A0C0" w14:textId="489CB5D9" w:rsidR="003E11D8" w:rsidRDefault="00B17578" w:rsidP="00821413">
            <w:pPr>
              <w:pStyle w:val="Heading3"/>
              <w:spacing w:after="240"/>
              <w:outlineLvl w:val="2"/>
            </w:pPr>
            <w:r>
              <w:rPr>
                <w:color w:val="auto"/>
              </w:rPr>
              <w:t>10</w:t>
            </w:r>
            <w:r w:rsidR="008B4F91">
              <w:rPr>
                <w:color w:val="auto"/>
              </w:rPr>
              <w:t>. Andre kommentarer</w:t>
            </w:r>
          </w:p>
        </w:tc>
      </w:tr>
      <w:tr w:rsidR="003E11D8" w14:paraId="25DA1048" w14:textId="77777777" w:rsidTr="008F5747">
        <w:trPr>
          <w:trHeight w:val="2679"/>
        </w:trPr>
        <w:tc>
          <w:tcPr>
            <w:tcW w:w="8613" w:type="dxa"/>
          </w:tcPr>
          <w:p w14:paraId="19963E59" w14:textId="7EA20209" w:rsidR="003E11D8" w:rsidRDefault="00B05BA0" w:rsidP="0086697D">
            <w:r>
              <w:t xml:space="preserve">Hensikten med dette innspillsdokumentet, er å anmode Bestillerforum om å omgjøre bestillingen til Legemiddelverket fra en </w:t>
            </w:r>
            <w:r w:rsidR="008B56B8">
              <w:t xml:space="preserve">kostnad per Qaly-analyse (type C) til en forenklet metodevurdering (type D). </w:t>
            </w:r>
          </w:p>
          <w:p w14:paraId="579DA931" w14:textId="7B99019D" w:rsidR="00D53539" w:rsidRDefault="008B56B8" w:rsidP="0086697D">
            <w:r>
              <w:t>Begrunnelsen for</w:t>
            </w:r>
            <w:r w:rsidR="001A1C14">
              <w:t xml:space="preserve"> dette er først og fremst at de</w:t>
            </w:r>
            <w:r w:rsidR="00133A4E">
              <w:t xml:space="preserve">tte er en sykdom </w:t>
            </w:r>
            <w:r w:rsidR="00380D60">
              <w:t>som</w:t>
            </w:r>
            <w:r w:rsidR="00133A4E">
              <w:t xml:space="preserve"> det i liten grad foreligger </w:t>
            </w:r>
            <w:r w:rsidR="00E54ACA">
              <w:t xml:space="preserve">legemidler i Norge med </w:t>
            </w:r>
            <w:r w:rsidR="00414AA2">
              <w:t>godkjent indikasjon</w:t>
            </w:r>
            <w:r w:rsidR="00593397">
              <w:t xml:space="preserve"> for,</w:t>
            </w:r>
            <w:r w:rsidR="00414AA2">
              <w:t xml:space="preserve"> og som har blitt </w:t>
            </w:r>
            <w:r w:rsidR="00B462ED">
              <w:t>bestemt at skal innføres</w:t>
            </w:r>
            <w:r w:rsidR="00414AA2">
              <w:t xml:space="preserve"> til bruk i spesialisthelsetjenesten </w:t>
            </w:r>
            <w:r w:rsidR="00B462ED">
              <w:t>med finansiering over regionale helseforetaks budsjetter.</w:t>
            </w:r>
            <w:r w:rsidR="005D3987">
              <w:t xml:space="preserve"> Dette kunne være Jakavi eller </w:t>
            </w:r>
            <w:r w:rsidR="00FC5C46" w:rsidRPr="00096193">
              <w:t>hydroxyurea</w:t>
            </w:r>
            <w:r w:rsidR="00164273">
              <w:t>.</w:t>
            </w:r>
            <w:r w:rsidR="00B462ED">
              <w:t xml:space="preserve"> </w:t>
            </w:r>
            <w:r w:rsidR="003B2A18">
              <w:t xml:space="preserve">Venesectio er én anbefalt behandling, og metodevarselet </w:t>
            </w:r>
            <w:r w:rsidR="00A574E5">
              <w:t xml:space="preserve">nevner også Busulfan som </w:t>
            </w:r>
            <w:r w:rsidR="005D3987">
              <w:t xml:space="preserve">gir økt risiko </w:t>
            </w:r>
            <w:r w:rsidR="005D3987" w:rsidRPr="005D3987">
              <w:t>for sekundær akutt myelogen leukemi etter tidligere behandling med hydroksyurea</w:t>
            </w:r>
            <w:r w:rsidR="00732693">
              <w:t>.</w:t>
            </w:r>
          </w:p>
          <w:p w14:paraId="31C3211C" w14:textId="7ED1F47F" w:rsidR="00D53539" w:rsidRDefault="00D53539" w:rsidP="0086697D"/>
        </w:tc>
      </w:tr>
      <w:tr w:rsidR="00A574E5" w14:paraId="4D853165" w14:textId="77777777" w:rsidTr="0091218A">
        <w:trPr>
          <w:trHeight w:val="601"/>
        </w:trPr>
        <w:tc>
          <w:tcPr>
            <w:tcW w:w="8613" w:type="dxa"/>
          </w:tcPr>
          <w:p w14:paraId="73137BE7" w14:textId="60CCD18A" w:rsidR="00A574E5" w:rsidRDefault="00A574E5" w:rsidP="0086697D"/>
        </w:tc>
      </w:tr>
    </w:tbl>
    <w:p w14:paraId="541B1D8A" w14:textId="77777777" w:rsidR="006F6B4F" w:rsidRDefault="006F6B4F" w:rsidP="003E11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E11D8" w14:paraId="3BDD2454" w14:textId="77777777" w:rsidTr="0086697D">
        <w:tc>
          <w:tcPr>
            <w:tcW w:w="8613" w:type="dxa"/>
          </w:tcPr>
          <w:p w14:paraId="1797F6A0" w14:textId="5DB19A71" w:rsidR="003E11D8" w:rsidRPr="00821413" w:rsidRDefault="00B17578" w:rsidP="00E10066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>11</w:t>
            </w:r>
            <w:r w:rsidR="00702941">
              <w:rPr>
                <w:rFonts w:asciiTheme="majorHAnsi" w:eastAsiaTheme="majorEastAsia" w:hAnsiTheme="majorHAnsi" w:cstheme="majorBidi"/>
                <w:b/>
                <w:bCs/>
              </w:rPr>
              <w:t xml:space="preserve">. </w:t>
            </w:r>
            <w:r w:rsidR="003E11D8" w:rsidRPr="001143A3">
              <w:rPr>
                <w:rFonts w:asciiTheme="majorHAnsi" w:eastAsiaTheme="majorEastAsia" w:hAnsiTheme="majorHAnsi" w:cstheme="majorBidi"/>
                <w:b/>
                <w:bCs/>
              </w:rPr>
              <w:t xml:space="preserve"> Interesser og eventuelle interessekonflikter</w:t>
            </w:r>
            <w:r w:rsidR="003E11D8">
              <w:br/>
            </w:r>
            <w:r w:rsidR="003E11D8" w:rsidRPr="005805DE">
              <w:t xml:space="preserve">Beskriv dine relasjoner eller aktiviteter som kan påvirke, påvirkes av eller oppfattes av andre </w:t>
            </w:r>
            <w:r w:rsidR="003E11D8" w:rsidRPr="005805DE">
              <w:lastRenderedPageBreak/>
              <w:t xml:space="preserve">å ha betydning for den videre håndteringen av metoden som </w:t>
            </w:r>
            <w:r w:rsidR="00E10066">
              <w:t>det gis innspill på</w:t>
            </w:r>
            <w:r w:rsidR="003E11D8" w:rsidRPr="005805DE">
              <w:t xml:space="preserve"> (</w:t>
            </w:r>
            <w:r w:rsidR="00E10066">
              <w:t>f</w:t>
            </w:r>
            <w:r w:rsidR="009C40CB">
              <w:t>or e</w:t>
            </w:r>
            <w:r w:rsidR="003E11D8" w:rsidRPr="005805DE">
              <w:t>ksemp</w:t>
            </w:r>
            <w:r w:rsidR="009C40CB">
              <w:t>el</w:t>
            </w:r>
            <w:r w:rsidR="003E11D8" w:rsidRPr="005805DE">
              <w:t>: økonomiske interesser i saken</w:t>
            </w:r>
            <w:r w:rsidR="009C40CB">
              <w:t>, oppdrag eller andre bindinger</w:t>
            </w:r>
            <w:r w:rsidR="003E11D8" w:rsidRPr="005805DE">
              <w:t>)</w:t>
            </w:r>
            <w:r w:rsidR="00E10066">
              <w:t>.</w:t>
            </w:r>
          </w:p>
        </w:tc>
      </w:tr>
      <w:tr w:rsidR="003E11D8" w14:paraId="589DDAB5" w14:textId="77777777" w:rsidTr="0086697D">
        <w:trPr>
          <w:trHeight w:val="1041"/>
        </w:trPr>
        <w:tc>
          <w:tcPr>
            <w:tcW w:w="8613" w:type="dxa"/>
          </w:tcPr>
          <w:p w14:paraId="07CDB53C" w14:textId="6460DAF0" w:rsidR="00732693" w:rsidRDefault="00296C75" w:rsidP="00732693">
            <w:r>
              <w:lastRenderedPageBreak/>
              <w:t>Oecona</w:t>
            </w:r>
            <w:r w:rsidR="00732693">
              <w:t xml:space="preserve"> skriver dette forslaget på vegne av AOP Pharma som er eier av markeds-føringstillatelsen for produktet. </w:t>
            </w:r>
            <w:r>
              <w:t>Oecona</w:t>
            </w:r>
            <w:r w:rsidR="00732693">
              <w:t xml:space="preserve"> utfører konsulenttjenester for klienter i legemiddelbransjen, </w:t>
            </w:r>
            <w:r w:rsidR="003E58C3">
              <w:t>blant annet</w:t>
            </w:r>
            <w:r w:rsidR="00732693">
              <w:t xml:space="preserve"> AOP Pharma. </w:t>
            </w:r>
          </w:p>
          <w:p w14:paraId="2DC779F1" w14:textId="52364A50" w:rsidR="003E11D8" w:rsidRDefault="003E11D8" w:rsidP="0086697D"/>
        </w:tc>
      </w:tr>
    </w:tbl>
    <w:p w14:paraId="3D91699A" w14:textId="77777777" w:rsidR="00D1082E" w:rsidRDefault="00D1082E" w:rsidP="00C70E94"/>
    <w:sectPr w:rsidR="00D1082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49CB0" w14:textId="77777777" w:rsidR="0009375F" w:rsidRDefault="0009375F" w:rsidP="00CB7C65">
      <w:pPr>
        <w:spacing w:after="0" w:line="240" w:lineRule="auto"/>
      </w:pPr>
      <w:r>
        <w:separator/>
      </w:r>
    </w:p>
  </w:endnote>
  <w:endnote w:type="continuationSeparator" w:id="0">
    <w:p w14:paraId="34CAD0B7" w14:textId="77777777" w:rsidR="0009375F" w:rsidRDefault="0009375F" w:rsidP="00CB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68621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16403AC" w14:textId="0F136606" w:rsidR="003E11D8" w:rsidRDefault="003E11D8">
            <w:pPr>
              <w:pStyle w:val="Footer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371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371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ED8CD6" w14:textId="77777777" w:rsidR="003E11D8" w:rsidRDefault="003E1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125D2" w14:textId="77777777" w:rsidR="0009375F" w:rsidRDefault="0009375F" w:rsidP="00CB7C65">
      <w:pPr>
        <w:spacing w:after="0" w:line="240" w:lineRule="auto"/>
      </w:pPr>
      <w:r>
        <w:separator/>
      </w:r>
    </w:p>
  </w:footnote>
  <w:footnote w:type="continuationSeparator" w:id="0">
    <w:p w14:paraId="464795B2" w14:textId="77777777" w:rsidR="0009375F" w:rsidRDefault="0009375F" w:rsidP="00CB7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34F3C" w14:textId="6EF503FE" w:rsidR="00CB7C65" w:rsidRDefault="004C0E4A">
    <w:pPr>
      <w:pStyle w:val="Header"/>
    </w:pPr>
    <w:r w:rsidRPr="004C0E4A">
      <w:rPr>
        <w:noProof/>
        <w:lang w:eastAsia="nb-NO"/>
      </w:rPr>
      <w:drawing>
        <wp:inline distT="0" distB="0" distL="0" distR="0" wp14:anchorId="072B9136" wp14:editId="2D6E794B">
          <wp:extent cx="1293992" cy="146687"/>
          <wp:effectExtent l="0" t="0" r="1905" b="5715"/>
          <wp:docPr id="7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3992" cy="146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1243">
      <w:tab/>
    </w:r>
    <w:r w:rsidR="00C81243">
      <w:tab/>
      <w:t>v. 1.0 – 21.02.2020</w:t>
    </w:r>
  </w:p>
  <w:p w14:paraId="3CD38C23" w14:textId="77777777" w:rsidR="00CB7C65" w:rsidRDefault="00CB7C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605B3"/>
    <w:multiLevelType w:val="hybridMultilevel"/>
    <w:tmpl w:val="B288A9D0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C2C42"/>
    <w:multiLevelType w:val="hybridMultilevel"/>
    <w:tmpl w:val="3AE0F1D6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F1CF2"/>
    <w:multiLevelType w:val="hybridMultilevel"/>
    <w:tmpl w:val="55FADC7E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51370"/>
    <w:multiLevelType w:val="hybridMultilevel"/>
    <w:tmpl w:val="E04ECF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37BE5"/>
    <w:multiLevelType w:val="hybridMultilevel"/>
    <w:tmpl w:val="3508D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F0BD6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630C7"/>
    <w:multiLevelType w:val="hybridMultilevel"/>
    <w:tmpl w:val="4ACA8A5A"/>
    <w:lvl w:ilvl="0" w:tplc="F2D458BA">
      <w:start w:val="9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A92AE3"/>
    <w:multiLevelType w:val="hybridMultilevel"/>
    <w:tmpl w:val="251C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84479"/>
    <w:multiLevelType w:val="hybridMultilevel"/>
    <w:tmpl w:val="0F80EABA"/>
    <w:lvl w:ilvl="0" w:tplc="185CF8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7C4B2EB6"/>
    <w:multiLevelType w:val="hybridMultilevel"/>
    <w:tmpl w:val="DD1624EA"/>
    <w:lvl w:ilvl="0" w:tplc="686099E2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45819"/>
    <w:multiLevelType w:val="hybridMultilevel"/>
    <w:tmpl w:val="E782FA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65"/>
    <w:rsid w:val="000132C3"/>
    <w:rsid w:val="00022462"/>
    <w:rsid w:val="00023C61"/>
    <w:rsid w:val="00046A13"/>
    <w:rsid w:val="00050590"/>
    <w:rsid w:val="00056C03"/>
    <w:rsid w:val="00057B3D"/>
    <w:rsid w:val="000750CD"/>
    <w:rsid w:val="00076738"/>
    <w:rsid w:val="0009375F"/>
    <w:rsid w:val="000A077B"/>
    <w:rsid w:val="000B50DC"/>
    <w:rsid w:val="000B6119"/>
    <w:rsid w:val="000C12EA"/>
    <w:rsid w:val="000C18A2"/>
    <w:rsid w:val="000C331D"/>
    <w:rsid w:val="000C334C"/>
    <w:rsid w:val="000E0076"/>
    <w:rsid w:val="00105696"/>
    <w:rsid w:val="0011422E"/>
    <w:rsid w:val="001143A3"/>
    <w:rsid w:val="00124BBF"/>
    <w:rsid w:val="00126A17"/>
    <w:rsid w:val="00133A4E"/>
    <w:rsid w:val="001364B5"/>
    <w:rsid w:val="00150D68"/>
    <w:rsid w:val="00164273"/>
    <w:rsid w:val="00177751"/>
    <w:rsid w:val="00193D6A"/>
    <w:rsid w:val="001959E5"/>
    <w:rsid w:val="001A1C14"/>
    <w:rsid w:val="0021543A"/>
    <w:rsid w:val="0025054C"/>
    <w:rsid w:val="002529DD"/>
    <w:rsid w:val="00257E2B"/>
    <w:rsid w:val="00267B27"/>
    <w:rsid w:val="002879D8"/>
    <w:rsid w:val="00293E05"/>
    <w:rsid w:val="00296C75"/>
    <w:rsid w:val="002B3123"/>
    <w:rsid w:val="002C7275"/>
    <w:rsid w:val="002D6A9A"/>
    <w:rsid w:val="002E4930"/>
    <w:rsid w:val="00300696"/>
    <w:rsid w:val="00316592"/>
    <w:rsid w:val="00325BDD"/>
    <w:rsid w:val="00333470"/>
    <w:rsid w:val="00355798"/>
    <w:rsid w:val="00362CC6"/>
    <w:rsid w:val="003641EE"/>
    <w:rsid w:val="00365999"/>
    <w:rsid w:val="00370F93"/>
    <w:rsid w:val="00372C6A"/>
    <w:rsid w:val="00380D60"/>
    <w:rsid w:val="00383056"/>
    <w:rsid w:val="0038658A"/>
    <w:rsid w:val="003A56FF"/>
    <w:rsid w:val="003B1B17"/>
    <w:rsid w:val="003B2A18"/>
    <w:rsid w:val="003D5DFA"/>
    <w:rsid w:val="003E11D8"/>
    <w:rsid w:val="003E58C3"/>
    <w:rsid w:val="00400E87"/>
    <w:rsid w:val="00414AA2"/>
    <w:rsid w:val="00414E36"/>
    <w:rsid w:val="00416401"/>
    <w:rsid w:val="00426A30"/>
    <w:rsid w:val="00432745"/>
    <w:rsid w:val="00444F95"/>
    <w:rsid w:val="004459E0"/>
    <w:rsid w:val="004538A4"/>
    <w:rsid w:val="004539C1"/>
    <w:rsid w:val="0045472B"/>
    <w:rsid w:val="00482A88"/>
    <w:rsid w:val="004950E2"/>
    <w:rsid w:val="004A4CAD"/>
    <w:rsid w:val="004B03DA"/>
    <w:rsid w:val="004B0C29"/>
    <w:rsid w:val="004B303D"/>
    <w:rsid w:val="004C01B1"/>
    <w:rsid w:val="004C0E4A"/>
    <w:rsid w:val="004C5BF6"/>
    <w:rsid w:val="004D07B1"/>
    <w:rsid w:val="004D5DC9"/>
    <w:rsid w:val="00503312"/>
    <w:rsid w:val="005079D3"/>
    <w:rsid w:val="00530EF2"/>
    <w:rsid w:val="005678B4"/>
    <w:rsid w:val="0058417D"/>
    <w:rsid w:val="00593397"/>
    <w:rsid w:val="00597C69"/>
    <w:rsid w:val="005D3987"/>
    <w:rsid w:val="005F4DCC"/>
    <w:rsid w:val="00621A74"/>
    <w:rsid w:val="0063299A"/>
    <w:rsid w:val="00643E8D"/>
    <w:rsid w:val="0065595D"/>
    <w:rsid w:val="00663E14"/>
    <w:rsid w:val="006735A6"/>
    <w:rsid w:val="006D3711"/>
    <w:rsid w:val="006F6B4F"/>
    <w:rsid w:val="00702941"/>
    <w:rsid w:val="0071359B"/>
    <w:rsid w:val="00732693"/>
    <w:rsid w:val="00756189"/>
    <w:rsid w:val="00756F82"/>
    <w:rsid w:val="007663D7"/>
    <w:rsid w:val="00771A0B"/>
    <w:rsid w:val="00775E56"/>
    <w:rsid w:val="007976C2"/>
    <w:rsid w:val="007A4A9A"/>
    <w:rsid w:val="007B2ACD"/>
    <w:rsid w:val="007D1A84"/>
    <w:rsid w:val="007D5C8C"/>
    <w:rsid w:val="00810846"/>
    <w:rsid w:val="00815484"/>
    <w:rsid w:val="00821413"/>
    <w:rsid w:val="00827726"/>
    <w:rsid w:val="008639F1"/>
    <w:rsid w:val="00876804"/>
    <w:rsid w:val="00877017"/>
    <w:rsid w:val="00885EFB"/>
    <w:rsid w:val="00886074"/>
    <w:rsid w:val="008B4F91"/>
    <w:rsid w:val="008B56B8"/>
    <w:rsid w:val="008B6D2F"/>
    <w:rsid w:val="008C3B47"/>
    <w:rsid w:val="008C5CCC"/>
    <w:rsid w:val="008D709B"/>
    <w:rsid w:val="008F5747"/>
    <w:rsid w:val="009112AF"/>
    <w:rsid w:val="0091218A"/>
    <w:rsid w:val="00915BA3"/>
    <w:rsid w:val="00920201"/>
    <w:rsid w:val="00921596"/>
    <w:rsid w:val="00927939"/>
    <w:rsid w:val="00932836"/>
    <w:rsid w:val="00936CD2"/>
    <w:rsid w:val="009520F3"/>
    <w:rsid w:val="00954523"/>
    <w:rsid w:val="009557C4"/>
    <w:rsid w:val="00955918"/>
    <w:rsid w:val="00981F2E"/>
    <w:rsid w:val="009A2711"/>
    <w:rsid w:val="009C220B"/>
    <w:rsid w:val="009C40CB"/>
    <w:rsid w:val="009C7B5E"/>
    <w:rsid w:val="009E1331"/>
    <w:rsid w:val="00A04572"/>
    <w:rsid w:val="00A238FC"/>
    <w:rsid w:val="00A2476C"/>
    <w:rsid w:val="00A33F72"/>
    <w:rsid w:val="00A53910"/>
    <w:rsid w:val="00A574E5"/>
    <w:rsid w:val="00A62873"/>
    <w:rsid w:val="00A64189"/>
    <w:rsid w:val="00A81968"/>
    <w:rsid w:val="00A83267"/>
    <w:rsid w:val="00A83DC1"/>
    <w:rsid w:val="00A91475"/>
    <w:rsid w:val="00AA06AF"/>
    <w:rsid w:val="00AA09AD"/>
    <w:rsid w:val="00AA40D5"/>
    <w:rsid w:val="00AB5306"/>
    <w:rsid w:val="00AE35F6"/>
    <w:rsid w:val="00AE58D8"/>
    <w:rsid w:val="00AF0CEC"/>
    <w:rsid w:val="00B00BB2"/>
    <w:rsid w:val="00B05BA0"/>
    <w:rsid w:val="00B17578"/>
    <w:rsid w:val="00B305A2"/>
    <w:rsid w:val="00B462ED"/>
    <w:rsid w:val="00B55123"/>
    <w:rsid w:val="00B57F48"/>
    <w:rsid w:val="00B62381"/>
    <w:rsid w:val="00B763A7"/>
    <w:rsid w:val="00B86A6E"/>
    <w:rsid w:val="00B86B26"/>
    <w:rsid w:val="00B97688"/>
    <w:rsid w:val="00BA5095"/>
    <w:rsid w:val="00BB2A48"/>
    <w:rsid w:val="00BB335A"/>
    <w:rsid w:val="00BD02E1"/>
    <w:rsid w:val="00BD3479"/>
    <w:rsid w:val="00BD5F65"/>
    <w:rsid w:val="00BF3960"/>
    <w:rsid w:val="00C23FD2"/>
    <w:rsid w:val="00C3259A"/>
    <w:rsid w:val="00C354DD"/>
    <w:rsid w:val="00C42E36"/>
    <w:rsid w:val="00C61ECA"/>
    <w:rsid w:val="00C633BE"/>
    <w:rsid w:val="00C70E94"/>
    <w:rsid w:val="00C72847"/>
    <w:rsid w:val="00C745AD"/>
    <w:rsid w:val="00C77206"/>
    <w:rsid w:val="00C81243"/>
    <w:rsid w:val="00C82ABF"/>
    <w:rsid w:val="00C85C87"/>
    <w:rsid w:val="00C87624"/>
    <w:rsid w:val="00CA1F13"/>
    <w:rsid w:val="00CA3B6F"/>
    <w:rsid w:val="00CA40C0"/>
    <w:rsid w:val="00CB17B2"/>
    <w:rsid w:val="00CB7C65"/>
    <w:rsid w:val="00CC7859"/>
    <w:rsid w:val="00CE205A"/>
    <w:rsid w:val="00CF6119"/>
    <w:rsid w:val="00D002A9"/>
    <w:rsid w:val="00D1082E"/>
    <w:rsid w:val="00D51D17"/>
    <w:rsid w:val="00D53539"/>
    <w:rsid w:val="00D60E88"/>
    <w:rsid w:val="00D670A4"/>
    <w:rsid w:val="00DA2091"/>
    <w:rsid w:val="00DA2A08"/>
    <w:rsid w:val="00DB383C"/>
    <w:rsid w:val="00DB5230"/>
    <w:rsid w:val="00DC0C1C"/>
    <w:rsid w:val="00DD0948"/>
    <w:rsid w:val="00DD2FC3"/>
    <w:rsid w:val="00DD72CC"/>
    <w:rsid w:val="00DF7E8A"/>
    <w:rsid w:val="00E10066"/>
    <w:rsid w:val="00E35163"/>
    <w:rsid w:val="00E41B2F"/>
    <w:rsid w:val="00E54ACA"/>
    <w:rsid w:val="00E57645"/>
    <w:rsid w:val="00E707C4"/>
    <w:rsid w:val="00E83A05"/>
    <w:rsid w:val="00E85A21"/>
    <w:rsid w:val="00EA4522"/>
    <w:rsid w:val="00EA4C45"/>
    <w:rsid w:val="00EB55D2"/>
    <w:rsid w:val="00EC16CB"/>
    <w:rsid w:val="00EC7EE6"/>
    <w:rsid w:val="00EF2741"/>
    <w:rsid w:val="00F021F5"/>
    <w:rsid w:val="00F12116"/>
    <w:rsid w:val="00F37C78"/>
    <w:rsid w:val="00F75E74"/>
    <w:rsid w:val="00FA0241"/>
    <w:rsid w:val="00FC49FB"/>
    <w:rsid w:val="00FC5C46"/>
    <w:rsid w:val="00FC6C8A"/>
    <w:rsid w:val="00FD5263"/>
    <w:rsid w:val="00FE1E15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892DF9"/>
  <w15:docId w15:val="{A10C1ADE-F395-4190-BBA4-75766035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1D8"/>
  </w:style>
  <w:style w:type="paragraph" w:styleId="Heading1">
    <w:name w:val="heading 1"/>
    <w:basedOn w:val="Normal"/>
    <w:next w:val="Normal"/>
    <w:link w:val="Heading1Char"/>
    <w:uiPriority w:val="9"/>
    <w:qFormat/>
    <w:rsid w:val="003E11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11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C65"/>
  </w:style>
  <w:style w:type="paragraph" w:styleId="Footer">
    <w:name w:val="footer"/>
    <w:basedOn w:val="Normal"/>
    <w:link w:val="FooterChar"/>
    <w:uiPriority w:val="99"/>
    <w:unhideWhenUsed/>
    <w:rsid w:val="00CB7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C65"/>
  </w:style>
  <w:style w:type="paragraph" w:styleId="BalloonText">
    <w:name w:val="Balloon Text"/>
    <w:basedOn w:val="Normal"/>
    <w:link w:val="BalloonTextChar"/>
    <w:uiPriority w:val="99"/>
    <w:semiHidden/>
    <w:unhideWhenUsed/>
    <w:rsid w:val="00CB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7C6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745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45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45A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E1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E11D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3E1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11D8"/>
    <w:rPr>
      <w:strike w:val="0"/>
      <w:dstrike w:val="0"/>
      <w:color w:val="428BCA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C4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0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0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0CB"/>
    <w:rPr>
      <w:b/>
      <w:bCs/>
      <w:sz w:val="20"/>
      <w:szCs w:val="20"/>
    </w:rPr>
  </w:style>
  <w:style w:type="paragraph" w:customStyle="1" w:styleId="Default">
    <w:name w:val="Default"/>
    <w:rsid w:val="00CA40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A4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ivind@oecona.no%20/%2096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nyemetoder@helse-soros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678E250B5154BA48D58577F8DAB50" ma:contentTypeVersion="1" ma:contentTypeDescription="Opprett et nytt dokument." ma:contentTypeScope="" ma:versionID="45fce420bd05123b64406ae8179a28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8fcb2e5a7bd60766267fa170e0d6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E33727-83BD-4FF1-BEAE-2D6E2BCB23FA}"/>
</file>

<file path=customXml/itemProps2.xml><?xml version="1.0" encoding="utf-8"?>
<ds:datastoreItem xmlns:ds="http://schemas.openxmlformats.org/officeDocument/2006/customXml" ds:itemID="{AA358C23-B55C-4406-9F54-0BF92E8F5F15}"/>
</file>

<file path=customXml/itemProps3.xml><?xml version="1.0" encoding="utf-8"?>
<ds:datastoreItem xmlns:ds="http://schemas.openxmlformats.org/officeDocument/2006/customXml" ds:itemID="{337620BF-17D6-4000-AEE7-805D3CC136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Skilhagen Thormodsen</dc:creator>
  <cp:lastModifiedBy>Eivind Jørgensen</cp:lastModifiedBy>
  <cp:revision>3</cp:revision>
  <cp:lastPrinted>2019-11-28T11:53:00Z</cp:lastPrinted>
  <dcterms:created xsi:type="dcterms:W3CDTF">2020-09-16T06:52:00Z</dcterms:created>
  <dcterms:modified xsi:type="dcterms:W3CDTF">2020-09-18T06:21:00Z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0x01010035C678E250B5154BA48D58577F8DAB50</vt:lpwstr>
  </property>
</Properties>
</file>