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8A24" w14:textId="7CE0BE72" w:rsidR="004B303D" w:rsidRDefault="0091218A" w:rsidP="003E11D8">
      <w:pPr>
        <w:spacing w:line="240" w:lineRule="auto"/>
        <w:contextualSpacing/>
        <w:rPr>
          <w:rFonts w:cs="Arial"/>
        </w:rPr>
      </w:pPr>
      <w:r w:rsidRPr="097A4CBD">
        <w:rPr>
          <w:rStyle w:val="Heading1Char"/>
          <w:color w:val="auto"/>
        </w:rPr>
        <w:t>Nye metoder: Innspill til</w:t>
      </w:r>
      <w:r w:rsidR="003E11D8" w:rsidRPr="097A4CBD">
        <w:rPr>
          <w:rStyle w:val="Heading1Char"/>
          <w:color w:val="auto"/>
        </w:rPr>
        <w:t xml:space="preserve"> </w:t>
      </w:r>
      <w:r w:rsidR="002E4930" w:rsidRPr="097A4CBD">
        <w:rPr>
          <w:rStyle w:val="Heading1Char"/>
          <w:color w:val="auto"/>
        </w:rPr>
        <w:t>metoder (</w:t>
      </w:r>
      <w:r w:rsidR="003E11D8" w:rsidRPr="097A4CBD">
        <w:rPr>
          <w:rStyle w:val="Heading1Char"/>
          <w:rFonts w:asciiTheme="minorHAnsi" w:hAnsiTheme="minorHAnsi"/>
          <w:color w:val="auto"/>
        </w:rPr>
        <w:t>forslag</w:t>
      </w:r>
      <w:r w:rsidR="003E11D8" w:rsidRPr="097A4CBD">
        <w:rPr>
          <w:rStyle w:val="Heading1Char"/>
          <w:color w:val="auto"/>
        </w:rPr>
        <w:t>/metodevarsler</w:t>
      </w:r>
      <w:r w:rsidR="002E4930" w:rsidRPr="097A4CBD">
        <w:rPr>
          <w:rStyle w:val="Heading1Char"/>
          <w:color w:val="auto"/>
        </w:rPr>
        <w:t>/oppdrag)</w:t>
      </w:r>
      <w:r>
        <w:br/>
      </w:r>
      <w:r>
        <w:br/>
      </w:r>
      <w:r w:rsidR="003E11D8" w:rsidRPr="097A4CBD">
        <w:rPr>
          <w:rFonts w:cs="Arial"/>
        </w:rPr>
        <w:t>Alle har anledning til å komme med tilleggsopplysninger til en metode som er foreslått for nasjonal metodevurdering</w:t>
      </w:r>
      <w:r w:rsidR="004C5BF6" w:rsidRPr="097A4CBD">
        <w:rPr>
          <w:rFonts w:cs="Arial"/>
        </w:rPr>
        <w:t>. Det er ønskelig at innspill kommer</w:t>
      </w:r>
      <w:r w:rsidR="00643E8D" w:rsidRPr="097A4CBD">
        <w:rPr>
          <w:rFonts w:cs="Arial"/>
        </w:rPr>
        <w:t xml:space="preserve"> inn så tidlig som mulig i pros</w:t>
      </w:r>
      <w:r w:rsidR="004C5BF6" w:rsidRPr="097A4CBD">
        <w:rPr>
          <w:rFonts w:cs="Arial"/>
        </w:rPr>
        <w:t>esse</w:t>
      </w:r>
      <w:r w:rsidR="00643E8D" w:rsidRPr="097A4CBD">
        <w:rPr>
          <w:rFonts w:cs="Arial"/>
        </w:rPr>
        <w:t>n,</w:t>
      </w:r>
      <w:r w:rsidR="004C5BF6" w:rsidRPr="097A4CBD">
        <w:rPr>
          <w:rFonts w:cs="Arial"/>
        </w:rPr>
        <w:t xml:space="preserve"> fortrinnsvis</w:t>
      </w:r>
      <w:r w:rsidR="003E11D8" w:rsidRPr="097A4CBD">
        <w:rPr>
          <w:rFonts w:cs="Arial"/>
        </w:rPr>
        <w:t xml:space="preserve"> før</w:t>
      </w:r>
      <w:r w:rsidR="004B303D" w:rsidRPr="097A4CBD">
        <w:rPr>
          <w:rFonts w:cs="Arial"/>
        </w:rPr>
        <w:t xml:space="preserve"> </w:t>
      </w:r>
      <w:r w:rsidR="003E11D8" w:rsidRPr="097A4CBD">
        <w:rPr>
          <w:rFonts w:cs="Arial"/>
        </w:rPr>
        <w:t>behand</w:t>
      </w:r>
      <w:r w:rsidR="004C5BF6" w:rsidRPr="097A4CBD">
        <w:rPr>
          <w:rFonts w:cs="Arial"/>
        </w:rPr>
        <w:t>ling i</w:t>
      </w:r>
      <w:r w:rsidR="003E11D8" w:rsidRPr="097A4CBD">
        <w:rPr>
          <w:rFonts w:cs="Arial"/>
        </w:rPr>
        <w:t xml:space="preserve"> Bestillerforum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 w:rsidRPr="097A4CBD">
        <w:rPr>
          <w:rFonts w:cs="Arial"/>
        </w:rPr>
        <w:t>Bruk dette skjema</w:t>
      </w:r>
      <w:r w:rsidR="004B303D" w:rsidRPr="097A4CBD">
        <w:rPr>
          <w:rFonts w:cs="Arial"/>
        </w:rPr>
        <w:t>et</w:t>
      </w:r>
      <w:r w:rsidRPr="097A4CBD">
        <w:rPr>
          <w:rFonts w:cs="Arial"/>
        </w:rPr>
        <w:t xml:space="preserve"> for å gi innspill til forslag</w:t>
      </w:r>
      <w:r w:rsidR="002879D8" w:rsidRPr="097A4CBD">
        <w:rPr>
          <w:rFonts w:cs="Arial"/>
        </w:rPr>
        <w:t xml:space="preserve">, </w:t>
      </w:r>
      <w:r w:rsidRPr="097A4CBD">
        <w:rPr>
          <w:rFonts w:cs="Arial"/>
        </w:rPr>
        <w:t>metodevarsler</w:t>
      </w:r>
      <w:r w:rsidR="002879D8" w:rsidRPr="097A4CBD">
        <w:rPr>
          <w:rFonts w:cs="Arial"/>
        </w:rPr>
        <w:t xml:space="preserve"> og oppdrag</w:t>
      </w:r>
      <w:r w:rsidR="004C5BF6" w:rsidRPr="097A4CBD">
        <w:rPr>
          <w:rFonts w:cs="Arial"/>
        </w:rPr>
        <w:t xml:space="preserve">. </w:t>
      </w:r>
      <w:r w:rsidR="00643E8D" w:rsidRPr="097A4CBD">
        <w:rPr>
          <w:rFonts w:cs="Arial"/>
        </w:rPr>
        <w:t>På nyemetoder.no vil nye forslag/metodevarsler ha s</w:t>
      </w:r>
      <w:r w:rsidRPr="097A4CBD">
        <w:rPr>
          <w:rFonts w:cs="Arial"/>
        </w:rPr>
        <w:t>tatus</w:t>
      </w:r>
      <w:r w:rsidR="00643E8D" w:rsidRPr="097A4CBD">
        <w:rPr>
          <w:rFonts w:cs="Arial"/>
        </w:rPr>
        <w:t>en</w:t>
      </w:r>
      <w:r w:rsidRPr="097A4CBD">
        <w:rPr>
          <w:rFonts w:cs="Arial"/>
        </w:rPr>
        <w:t xml:space="preserve"> «Forslag mottatt/åpent for innspill»</w:t>
      </w:r>
      <w:r w:rsidR="00A04572" w:rsidRPr="097A4CBD">
        <w:rPr>
          <w:rFonts w:cs="Arial"/>
        </w:rPr>
        <w:t xml:space="preserve"> </w:t>
      </w:r>
      <w:r w:rsidR="00643E8D" w:rsidRPr="097A4CB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r w:rsidRPr="097A4CBD">
        <w:rPr>
          <w:rFonts w:cs="Arial"/>
        </w:rPr>
        <w:t>Bestillerforum RHF.</w:t>
      </w:r>
      <w:r w:rsidR="002B3123" w:rsidRPr="097A4CBD">
        <w:rPr>
          <w:rFonts w:cs="Arial"/>
        </w:rPr>
        <w:t xml:space="preserve"> Utfylt skjema sendes </w:t>
      </w:r>
      <w:hyperlink r:id="rId12">
        <w:r w:rsidR="002B3123" w:rsidRPr="097A4CBD">
          <w:rPr>
            <w:rStyle w:val="Hyperlink"/>
            <w:rFonts w:cs="Arial"/>
          </w:rPr>
          <w:t>nyemetoder@helse-sorost.no</w:t>
        </w:r>
      </w:hyperlink>
      <w:r w:rsidR="002B3123" w:rsidRPr="097A4CBD">
        <w:rPr>
          <w:rFonts w:cs="Arial"/>
        </w:rPr>
        <w:t xml:space="preserve">. </w:t>
      </w:r>
    </w:p>
    <w:p w14:paraId="0937F911" w14:textId="77777777" w:rsidR="006F6B4F" w:rsidRDefault="006F6B4F" w:rsidP="097A4CBD">
      <w:pPr>
        <w:spacing w:line="240" w:lineRule="auto"/>
        <w:contextualSpacing/>
        <w:rPr>
          <w:b/>
          <w:bCs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0"/>
        </w:rPr>
      </w:pPr>
      <w:r w:rsidRPr="097A4CBD">
        <w:rPr>
          <w:b/>
          <w:bCs/>
        </w:rPr>
        <w:t>NB</w:t>
      </w:r>
      <w:r>
        <w:t xml:space="preserve">: </w:t>
      </w:r>
      <w:r w:rsidR="0091218A" w:rsidRPr="097A4CBD">
        <w:rPr>
          <w:b/>
          <w:bCs/>
        </w:rPr>
        <w:t>Punkt 1-3 og 1</w:t>
      </w:r>
      <w:r w:rsidR="001959E5" w:rsidRPr="097A4CBD">
        <w:rPr>
          <w:b/>
          <w:bCs/>
        </w:rPr>
        <w:t>1</w:t>
      </w:r>
      <w:r w:rsidR="0091218A" w:rsidRPr="097A4CBD">
        <w:rPr>
          <w:b/>
          <w:bCs/>
        </w:rPr>
        <w:t xml:space="preserve"> fylles ut av alle.</w:t>
      </w:r>
      <w:r w:rsidR="0091218A">
        <w:t xml:space="preserve"> Punkt 4-9</w:t>
      </w:r>
      <w:r w:rsidR="00C354DD">
        <w:t xml:space="preserve"> fylles </w:t>
      </w:r>
      <w:r w:rsidR="00D53539">
        <w:t xml:space="preserve">ut avhengig av rolle og </w:t>
      </w:r>
      <w:r w:rsidR="00C354DD">
        <w:t>kjennskap til metoden.</w:t>
      </w:r>
    </w:p>
    <w:p w14:paraId="1B7BDA75" w14:textId="08E9F7CE" w:rsidR="002879D8" w:rsidRPr="002879D8" w:rsidRDefault="003E11D8" w:rsidP="097A4CBD">
      <w:pPr>
        <w:rPr>
          <w:b/>
          <w:bCs/>
        </w:rPr>
      </w:pPr>
      <w:r>
        <w:rPr>
          <w:rFonts w:cs="Arial"/>
        </w:rPr>
        <w:br/>
      </w:r>
      <w:r w:rsidRPr="097A4CBD">
        <w:rPr>
          <w:b/>
          <w:bCs/>
        </w:rPr>
        <w:t>Jeg er klar over at skjemaet vil bli publisert i sin helhet</w:t>
      </w:r>
      <w:r w:rsidR="002879D8" w:rsidRPr="097A4CBD">
        <w:rPr>
          <w:b/>
          <w:bCs/>
        </w:rPr>
        <w:t xml:space="preserve"> på nyemetoder.no</w:t>
      </w:r>
      <w:r w:rsidRPr="097A4CBD">
        <w:rPr>
          <w:b/>
          <w:bCs/>
        </w:rPr>
        <w:t xml:space="preserve"> (kryss av):                 </w:t>
      </w:r>
      <w:sdt>
        <w:sdtPr>
          <w:rPr>
            <w:b/>
            <w:color w:val="2B579A"/>
            <w:shd w:val="clear" w:color="auto" w:fill="E6E6E6"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524E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 w:rsidRPr="097A4CBD">
        <w:rPr>
          <w:b/>
          <w:bCs/>
        </w:rPr>
        <w:t xml:space="preserve">. </w:t>
      </w:r>
    </w:p>
    <w:p w14:paraId="5DD2D648" w14:textId="77777777" w:rsidR="002879D8" w:rsidRDefault="002879D8" w:rsidP="097A4CBD">
      <w:pPr>
        <w:spacing w:line="240" w:lineRule="auto"/>
        <w:contextualSpacing/>
        <w:jc w:val="both"/>
        <w:rPr>
          <w:b/>
          <w:bCs/>
        </w:rPr>
      </w:pPr>
    </w:p>
    <w:p w14:paraId="5F51F778" w14:textId="49A6EACB" w:rsidR="003E11D8" w:rsidRDefault="003E11D8" w:rsidP="097A4CBD">
      <w:pPr>
        <w:spacing w:line="240" w:lineRule="auto"/>
        <w:contextualSpacing/>
        <w:jc w:val="both"/>
        <w:rPr>
          <w:rFonts w:ascii="MS Gothic" w:eastAsia="MS Gothic" w:hAnsi="MS Gothic" w:cs="MS Gothic"/>
          <w:b/>
          <w:bCs/>
        </w:rPr>
      </w:pPr>
      <w:r w:rsidRPr="097A4CBD">
        <w:rPr>
          <w:b/>
          <w:bCs/>
        </w:rPr>
        <w:t xml:space="preserve">Jeg har fylt ut punkt </w:t>
      </w:r>
      <w:r w:rsidR="00885EFB" w:rsidRPr="097A4CBD">
        <w:rPr>
          <w:b/>
          <w:bCs/>
        </w:rPr>
        <w:t>1</w:t>
      </w:r>
      <w:r w:rsidR="001959E5" w:rsidRPr="097A4CBD">
        <w:rPr>
          <w:b/>
          <w:bCs/>
        </w:rPr>
        <w:t>1</w:t>
      </w:r>
      <w:r w:rsidRPr="097A4CBD">
        <w:rPr>
          <w:b/>
          <w:bCs/>
        </w:rPr>
        <w:t xml:space="preserve"> nedenfor «Interesser og eventuelle interessekonflikter» (kryss av):  </w:t>
      </w:r>
      <w:r w:rsidR="006D3711" w:rsidRPr="097A4CBD">
        <w:rPr>
          <w:b/>
          <w:bCs/>
        </w:rPr>
        <w:t xml:space="preserve">    </w:t>
      </w:r>
      <w:sdt>
        <w:sdtPr>
          <w:rPr>
            <w:b/>
            <w:color w:val="2B579A"/>
            <w:shd w:val="clear" w:color="auto" w:fill="E6E6E6"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075A8">
            <w:rPr>
              <w:rFonts w:ascii="MS Gothic" w:eastAsia="MS Gothic" w:hAnsi="MS Gothic" w:hint="eastAsia"/>
              <w:b/>
            </w:rPr>
            <w:t>☒</w:t>
          </w:r>
        </w:sdtContent>
      </w:sdt>
      <w:r w:rsidRPr="097A4CBD">
        <w:rPr>
          <w:b/>
          <w:bCs/>
        </w:rPr>
        <w:t xml:space="preserve"> </w:t>
      </w:r>
    </w:p>
    <w:p w14:paraId="668FACD4" w14:textId="26C19A35" w:rsidR="003E11D8" w:rsidRDefault="003E11D8" w:rsidP="097A4CBD">
      <w:pPr>
        <w:spacing w:line="240" w:lineRule="auto"/>
        <w:contextualSpacing/>
        <w:rPr>
          <w:b/>
          <w:bCs/>
        </w:rPr>
      </w:pPr>
    </w:p>
    <w:p w14:paraId="6C45AA23" w14:textId="77777777" w:rsidR="00D53539" w:rsidRDefault="00D53539" w:rsidP="097A4CBD">
      <w:pPr>
        <w:spacing w:line="240" w:lineRule="auto"/>
        <w:contextualSpacing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97A4CBD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Heading3"/>
              <w:spacing w:after="240"/>
              <w:jc w:val="both"/>
              <w:outlineLvl w:val="2"/>
              <w:rPr>
                <w:color w:val="auto"/>
              </w:rPr>
            </w:pPr>
            <w:r w:rsidRPr="097A4CBD">
              <w:rPr>
                <w:color w:val="auto"/>
              </w:rPr>
              <w:t>1.Hvilken metode</w:t>
            </w:r>
            <w:r w:rsidR="005079D3" w:rsidRPr="097A4CBD">
              <w:rPr>
                <w:color w:val="auto"/>
              </w:rPr>
              <w:t xml:space="preserve"> gjelder innspillet</w:t>
            </w:r>
            <w:r w:rsidR="0091218A" w:rsidRPr="097A4CBD">
              <w:rPr>
                <w:color w:val="auto"/>
              </w:rPr>
              <w:t>?</w:t>
            </w:r>
          </w:p>
        </w:tc>
      </w:tr>
      <w:tr w:rsidR="003E11D8" w14:paraId="482D3D4F" w14:textId="77777777" w:rsidTr="097A4CBD">
        <w:tc>
          <w:tcPr>
            <w:tcW w:w="4077" w:type="dxa"/>
          </w:tcPr>
          <w:p w14:paraId="2149829E" w14:textId="77777777" w:rsidR="003E11D8" w:rsidRDefault="003E11D8" w:rsidP="00C97B1C">
            <w:r>
              <w:t>Metodens ID nummer*:</w:t>
            </w:r>
          </w:p>
        </w:tc>
        <w:tc>
          <w:tcPr>
            <w:tcW w:w="4678" w:type="dxa"/>
          </w:tcPr>
          <w:p w14:paraId="1C24BB2C" w14:textId="77666935" w:rsidR="006F6B4F" w:rsidRDefault="002E524E" w:rsidP="00C97B1C">
            <w:r>
              <w:t>ID2020_078</w:t>
            </w:r>
          </w:p>
        </w:tc>
      </w:tr>
      <w:tr w:rsidR="003E11D8" w14:paraId="4951779C" w14:textId="77777777" w:rsidTr="097A4CBD">
        <w:tc>
          <w:tcPr>
            <w:tcW w:w="4077" w:type="dxa"/>
          </w:tcPr>
          <w:p w14:paraId="0A95CDA1" w14:textId="77777777" w:rsidR="003E11D8" w:rsidRDefault="003E11D8" w:rsidP="00C97B1C">
            <w:r>
              <w:t>Metodens tittel:</w:t>
            </w:r>
          </w:p>
        </w:tc>
        <w:tc>
          <w:tcPr>
            <w:tcW w:w="4678" w:type="dxa"/>
          </w:tcPr>
          <w:p w14:paraId="11C79C7F" w14:textId="77777777" w:rsidR="006F6B4F" w:rsidRDefault="002E524E" w:rsidP="00C97B1C">
            <w:r>
              <w:t>Pembrolizumab (Keytruda) - Indikasjon XVI</w:t>
            </w:r>
          </w:p>
          <w:p w14:paraId="2FFE495E" w14:textId="0EB950CE" w:rsidR="002E524E" w:rsidRDefault="002E524E" w:rsidP="00C97B1C">
            <w:r>
              <w:t>MAGE- OG TARMKREFT - Førstelinjebehandling av pasienter med dMMR eller MSI-H metastatisk eller ikke-resekterbar kolorektal kreft.</w:t>
            </w: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18"/>
        </w:rPr>
      </w:pPr>
      <w:r w:rsidRPr="097A4CBD">
        <w:rPr>
          <w:sz w:val="18"/>
          <w:szCs w:val="18"/>
        </w:rPr>
        <w:t>*ID-nummer finner du på metodesiden på n</w:t>
      </w:r>
      <w:r w:rsidR="00D1082E" w:rsidRPr="097A4CBD">
        <w:rPr>
          <w:sz w:val="18"/>
          <w:szCs w:val="18"/>
        </w:rPr>
        <w:t>yemetoder.no og har formen ID2020</w:t>
      </w:r>
      <w:r w:rsidR="003E11D8" w:rsidRPr="097A4CBD">
        <w:rPr>
          <w:sz w:val="18"/>
          <w:szCs w:val="18"/>
        </w:rPr>
        <w:t>_XX</w:t>
      </w:r>
      <w:r w:rsidRPr="097A4CBD">
        <w:rPr>
          <w:sz w:val="18"/>
          <w:szCs w:val="18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97A4CBD">
        <w:tc>
          <w:tcPr>
            <w:tcW w:w="8755" w:type="dxa"/>
            <w:gridSpan w:val="2"/>
          </w:tcPr>
          <w:p w14:paraId="578BAAB1" w14:textId="77777777" w:rsidR="003E11D8" w:rsidRDefault="003E11D8" w:rsidP="097A4CBD">
            <w:pPr>
              <w:pStyle w:val="Heading3"/>
              <w:spacing w:after="240"/>
              <w:jc w:val="both"/>
              <w:outlineLvl w:val="2"/>
              <w:rPr>
                <w:color w:val="auto"/>
              </w:rPr>
            </w:pPr>
            <w:r w:rsidRPr="097A4CBD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097A4CBD">
        <w:tc>
          <w:tcPr>
            <w:tcW w:w="4077" w:type="dxa"/>
          </w:tcPr>
          <w:p w14:paraId="00040E2B" w14:textId="77777777" w:rsidR="003E11D8" w:rsidRDefault="005079D3" w:rsidP="00C97B1C">
            <w:r>
              <w:t xml:space="preserve">Navn </w:t>
            </w:r>
          </w:p>
        </w:tc>
        <w:tc>
          <w:tcPr>
            <w:tcW w:w="4678" w:type="dxa"/>
          </w:tcPr>
          <w:p w14:paraId="36A034F4" w14:textId="1191467A" w:rsidR="008639F1" w:rsidRDefault="002E524E" w:rsidP="00C97B1C">
            <w:r>
              <w:t>Sylvi Nguyen</w:t>
            </w:r>
          </w:p>
        </w:tc>
      </w:tr>
      <w:tr w:rsidR="003E11D8" w14:paraId="09E926A0" w14:textId="77777777" w:rsidTr="097A4CBD">
        <w:tc>
          <w:tcPr>
            <w:tcW w:w="4077" w:type="dxa"/>
          </w:tcPr>
          <w:p w14:paraId="475D8B54" w14:textId="77777777" w:rsidR="003E11D8" w:rsidRDefault="003E11D8" w:rsidP="00C97B1C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2F2B5C26" w:rsidR="008639F1" w:rsidRDefault="002E524E" w:rsidP="00C97B1C">
            <w:r>
              <w:t>MSD (Norge) AS</w:t>
            </w:r>
          </w:p>
        </w:tc>
      </w:tr>
      <w:tr w:rsidR="003E11D8" w14:paraId="1BB2B375" w14:textId="77777777" w:rsidTr="097A4CBD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401BBF6D" w:rsidR="008639F1" w:rsidRDefault="002E524E" w:rsidP="00C97B1C">
            <w:r>
              <w:t>Sylvi.nguyen@merck.com / 902 98 309</w:t>
            </w:r>
          </w:p>
        </w:tc>
      </w:tr>
    </w:tbl>
    <w:p w14:paraId="319B484D" w14:textId="77777777" w:rsidR="003E11D8" w:rsidRPr="00D1082E" w:rsidRDefault="003E11D8" w:rsidP="0091218A">
      <w:pPr>
        <w:pStyle w:val="Heading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3EC327EC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Heading3"/>
              <w:spacing w:after="240"/>
              <w:jc w:val="both"/>
              <w:outlineLvl w:val="2"/>
              <w:rPr>
                <w:color w:val="auto"/>
              </w:rPr>
            </w:pPr>
            <w:r w:rsidRPr="097A4CBD">
              <w:rPr>
                <w:color w:val="auto"/>
              </w:rPr>
              <w:t xml:space="preserve">3. </w:t>
            </w:r>
            <w:r w:rsidR="00C354DD" w:rsidRPr="097A4CBD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3EC327EC">
        <w:trPr>
          <w:trHeight w:val="512"/>
        </w:trPr>
        <w:tc>
          <w:tcPr>
            <w:tcW w:w="8784" w:type="dxa"/>
          </w:tcPr>
          <w:p w14:paraId="10A34053" w14:textId="223B6798" w:rsidR="00267B58" w:rsidRDefault="002075A8" w:rsidP="2FCB184F">
            <w:pPr>
              <w:rPr>
                <w:b/>
                <w:bCs/>
              </w:rPr>
            </w:pPr>
            <w:r>
              <w:t xml:space="preserve">I </w:t>
            </w:r>
            <w:r w:rsidR="003F03F2">
              <w:t>metodevalget</w:t>
            </w:r>
            <w:r>
              <w:t xml:space="preserve"> </w:t>
            </w:r>
            <w:r w:rsidR="003F03F2">
              <w:t>til ID2020_078 er det foreslått hurtig metodevurdering (CUA).</w:t>
            </w:r>
            <w:r w:rsidR="02CFB39B">
              <w:t xml:space="preserve"> </w:t>
            </w:r>
            <w:r w:rsidRPr="54D30F7C">
              <w:rPr>
                <w:b/>
                <w:bCs/>
              </w:rPr>
              <w:t xml:space="preserve">MSD </w:t>
            </w:r>
            <w:r w:rsidR="003F03F2" w:rsidRPr="54D30F7C">
              <w:rPr>
                <w:b/>
                <w:bCs/>
              </w:rPr>
              <w:t>ønsker å foreslå en forenklet vurdering</w:t>
            </w:r>
            <w:r w:rsidR="5DE80FF0" w:rsidRPr="54D30F7C">
              <w:rPr>
                <w:b/>
                <w:bCs/>
              </w:rPr>
              <w:t xml:space="preserve"> </w:t>
            </w:r>
            <w:r w:rsidR="003F03F2" w:rsidRPr="54D30F7C">
              <w:rPr>
                <w:b/>
                <w:bCs/>
              </w:rPr>
              <w:t>løp D</w:t>
            </w:r>
            <w:r w:rsidR="1DFD25E6" w:rsidRPr="54D30F7C">
              <w:rPr>
                <w:b/>
                <w:bCs/>
              </w:rPr>
              <w:t>,</w:t>
            </w:r>
            <w:r w:rsidR="003F03F2" w:rsidRPr="54D30F7C">
              <w:rPr>
                <w:b/>
                <w:bCs/>
              </w:rPr>
              <w:t xml:space="preserve"> andre forenklinger.</w:t>
            </w:r>
          </w:p>
          <w:p w14:paraId="5C01F7D3" w14:textId="77777777" w:rsidR="002B785C" w:rsidRDefault="002B785C" w:rsidP="2FCB184F">
            <w:pPr>
              <w:rPr>
                <w:b/>
                <w:bCs/>
              </w:rPr>
            </w:pPr>
          </w:p>
          <w:p w14:paraId="57E16535" w14:textId="6A0AB589" w:rsidR="0006746C" w:rsidRDefault="57C2A8B1" w:rsidP="54D30F7C">
            <w:pPr>
              <w:spacing w:after="200" w:line="276" w:lineRule="auto"/>
              <w:rPr>
                <w:color w:val="000000" w:themeColor="text1"/>
              </w:rPr>
            </w:pPr>
            <w:r>
              <w:t xml:space="preserve">Leveutsiktene for CRC har gjennomgått en stadig forbedring de siste 30 årene. Overlevelse etter fem år er 90 % for pasienter som opereres for lokalisert sykdom, cirka 76 % for pasienter med spredning til lymfeknuter, </w:t>
            </w:r>
            <w:r w:rsidRPr="002B785C">
              <w:t>men kun 13% for pasienter med fjernspredning</w:t>
            </w:r>
            <w:r w:rsidR="7267B91D" w:rsidRPr="002B785C">
              <w:t xml:space="preserve"> (</w:t>
            </w:r>
            <w:r w:rsidR="09B3327B" w:rsidRPr="002B785C">
              <w:t>K</w:t>
            </w:r>
            <w:r w:rsidR="7267B91D" w:rsidRPr="002B785C">
              <w:t>reft</w:t>
            </w:r>
            <w:r w:rsidR="63DC25DD" w:rsidRPr="002B785C">
              <w:t>lex</w:t>
            </w:r>
            <w:r w:rsidR="7267B91D" w:rsidRPr="002B785C">
              <w:t>)</w:t>
            </w:r>
            <w:r>
              <w:t>.</w:t>
            </w:r>
          </w:p>
          <w:p w14:paraId="21AF9A46" w14:textId="48E5532E" w:rsidR="4417B319" w:rsidRDefault="4417B319" w:rsidP="3EC327EC">
            <w:pPr>
              <w:spacing w:after="200" w:line="276" w:lineRule="auto"/>
              <w:rPr>
                <w:color w:val="000000" w:themeColor="text1"/>
              </w:rPr>
            </w:pPr>
            <w:r>
              <w:t xml:space="preserve">Fase III-studien (Keynote-177), som ligger til grunn for søknaden om ny indikasjon for Keytruda til metastatisk </w:t>
            </w:r>
            <w:r w:rsidRPr="3EC327EC">
              <w:rPr>
                <w:color w:val="000000" w:themeColor="text1"/>
              </w:rPr>
              <w:t>mismatch-repair deficiency-high (</w:t>
            </w:r>
            <w:r>
              <w:t xml:space="preserve">MSI-H) kolorektal kreft (mCRC), viser en signifikant forbedring og dobling av progresjonsfri overlevelse (PFS) og varighet av respons </w:t>
            </w:r>
            <w:r>
              <w:lastRenderedPageBreak/>
              <w:t>(DoR) for pasienter behandlet med Keytruda sammenlignet med kjemoterapi. Studien viser også en forbedret bivirkningsprofil sammenlignet med kjemoterapi samt bedret livskvalitet.</w:t>
            </w:r>
          </w:p>
          <w:p w14:paraId="7B2C9ADB" w14:textId="675A77A3" w:rsidR="28D7B5C6" w:rsidRPr="00963836" w:rsidRDefault="68C49363" w:rsidP="00963836">
            <w:pPr>
              <w:spacing w:after="200" w:line="276" w:lineRule="auto"/>
            </w:pPr>
            <w:r w:rsidRPr="3EC327EC">
              <w:rPr>
                <w:color w:val="000000" w:themeColor="text1"/>
              </w:rPr>
              <w:t xml:space="preserve">MSI-H CRC utrykker 10-100 ganger så mange somatiske mutasjoner som MSI-stabil tumor, og har en høy grad av tumorinfiltrerende lymfocytter noe som </w:t>
            </w:r>
            <w:r>
              <w:t>henger sammen</w:t>
            </w:r>
            <w:r w:rsidRPr="3EC327EC">
              <w:rPr>
                <w:color w:val="000000" w:themeColor="text1"/>
              </w:rPr>
              <w:t xml:space="preserve"> med immunrespons.</w:t>
            </w:r>
            <w:r>
              <w:t xml:space="preserve"> </w:t>
            </w:r>
            <w:r w:rsidR="28D7B5C6">
              <w:t>MSI-</w:t>
            </w:r>
            <w:r w:rsidR="49A0FDE1">
              <w:t>H</w:t>
            </w:r>
            <w:r w:rsidR="1FE46FFE">
              <w:t xml:space="preserve"> forekommer i </w:t>
            </w:r>
            <w:r w:rsidR="03FF3021" w:rsidRPr="3EC327EC">
              <w:rPr>
                <w:color w:val="000000" w:themeColor="text1"/>
              </w:rPr>
              <w:t xml:space="preserve">en liten fraksjon av pasienter med </w:t>
            </w:r>
            <w:r w:rsidR="67D2BEA5">
              <w:t>mCRC</w:t>
            </w:r>
            <w:r w:rsidR="737AE12E">
              <w:t>. I årsrapporten for tykk- og endetarmskreft 2019 rapporteres det at færre enn 10 pasienter ble diagnostisert med mCRC MSI-H i 2019</w:t>
            </w:r>
            <w:r w:rsidR="03FF3021" w:rsidRPr="00963836">
              <w:t xml:space="preserve">. </w:t>
            </w:r>
            <w:r w:rsidR="002B785C" w:rsidRPr="00963836">
              <w:t>I</w:t>
            </w:r>
            <w:r w:rsidR="7590E5FC" w:rsidRPr="00963836">
              <w:t xml:space="preserve"> 2016-2018 var det 8-28 ny</w:t>
            </w:r>
            <w:r w:rsidR="1C56D46A" w:rsidRPr="00963836">
              <w:t>e</w:t>
            </w:r>
            <w:r w:rsidR="7590E5FC" w:rsidRPr="00963836">
              <w:t xml:space="preserve"> pasienter med CRC MSI-H.</w:t>
            </w:r>
            <w:r w:rsidR="797682CA" w:rsidRPr="00963836">
              <w:t xml:space="preserve"> </w:t>
            </w:r>
          </w:p>
          <w:p w14:paraId="7DAEAAE6" w14:textId="7FC2ED1E" w:rsidR="002B785C" w:rsidRDefault="0B492A46" w:rsidP="00963836">
            <w:pPr>
              <w:spacing w:line="276" w:lineRule="auto"/>
            </w:pPr>
            <w:r>
              <w:t xml:space="preserve">Per </w:t>
            </w:r>
            <w:r w:rsidR="67ADFA50">
              <w:t xml:space="preserve">dags </w:t>
            </w:r>
            <w:r>
              <w:t xml:space="preserve">dato foreligger det et </w:t>
            </w:r>
            <w:r w:rsidR="21272353">
              <w:t>unntak for bruk under metodevurdering på pasientgruppenivå</w:t>
            </w:r>
            <w:r>
              <w:t xml:space="preserve"> for</w:t>
            </w:r>
            <w:r w:rsidR="2D717EC5">
              <w:t xml:space="preserve"> behandling</w:t>
            </w:r>
            <w:r w:rsidR="21272353">
              <w:t xml:space="preserve"> med PD-1 hemmer</w:t>
            </w:r>
            <w:r w:rsidR="2D717EC5">
              <w:t xml:space="preserve"> i andre linje for</w:t>
            </w:r>
            <w:r>
              <w:t xml:space="preserve"> </w:t>
            </w:r>
            <w:r w:rsidR="4AC9631F">
              <w:t>MSI-</w:t>
            </w:r>
            <w:r w:rsidR="370CC217">
              <w:t>H</w:t>
            </w:r>
            <w:r w:rsidR="4AC9631F">
              <w:t xml:space="preserve"> pasienter med </w:t>
            </w:r>
            <w:r w:rsidR="002B785C">
              <w:t xml:space="preserve">metastatisk </w:t>
            </w:r>
            <w:r w:rsidR="4AC9631F">
              <w:t>kolorektal</w:t>
            </w:r>
            <w:r w:rsidR="615992CA">
              <w:t xml:space="preserve"> </w:t>
            </w:r>
            <w:r w:rsidR="4AC9631F">
              <w:t>kreft</w:t>
            </w:r>
            <w:r w:rsidR="18A64E38">
              <w:t>.</w:t>
            </w:r>
            <w:r>
              <w:t xml:space="preserve"> </w:t>
            </w:r>
            <w:r w:rsidR="002B785C">
              <w:t>E</w:t>
            </w:r>
            <w:r w:rsidR="5303065F">
              <w:t xml:space="preserve">t slikt unntak </w:t>
            </w:r>
            <w:r>
              <w:t xml:space="preserve">understreker det </w:t>
            </w:r>
            <w:r w:rsidR="00E779AA">
              <w:t xml:space="preserve">store </w:t>
            </w:r>
            <w:r>
              <w:t>behovet denne pasientgruppen</w:t>
            </w:r>
            <w:r w:rsidR="00E779AA">
              <w:t xml:space="preserve"> har for ny behandling</w:t>
            </w:r>
            <w:r>
              <w:t>.</w:t>
            </w:r>
            <w:r w:rsidR="2D717EC5">
              <w:t xml:space="preserve"> </w:t>
            </w:r>
            <w:r w:rsidR="6B31C314">
              <w:t xml:space="preserve">Ved </w:t>
            </w:r>
            <w:r w:rsidR="21272353">
              <w:t>innføring av Keytruda</w:t>
            </w:r>
            <w:r w:rsidR="4AC9631F">
              <w:t xml:space="preserve"> for</w:t>
            </w:r>
            <w:r w:rsidR="5303065F">
              <w:t xml:space="preserve"> tidligere ubehandlet</w:t>
            </w:r>
            <w:r w:rsidR="4AC9631F">
              <w:t xml:space="preserve"> metastatisk og MSI-</w:t>
            </w:r>
            <w:r w:rsidR="00FA41C7">
              <w:t>H</w:t>
            </w:r>
            <w:r w:rsidR="4AC9631F">
              <w:t xml:space="preserve"> kolorektal</w:t>
            </w:r>
            <w:r w:rsidR="19957F27">
              <w:t xml:space="preserve"> </w:t>
            </w:r>
            <w:r w:rsidR="4AC9631F">
              <w:t>kreft</w:t>
            </w:r>
            <w:r w:rsidR="737AE12E">
              <w:t xml:space="preserve"> </w:t>
            </w:r>
            <w:r w:rsidR="2D717EC5">
              <w:t>flytte</w:t>
            </w:r>
            <w:r w:rsidR="6B31C314">
              <w:t>s</w:t>
            </w:r>
            <w:r w:rsidR="2D717EC5">
              <w:t xml:space="preserve"> behandlingen av immunterapi fra andre linje til første linje</w:t>
            </w:r>
            <w:r w:rsidR="5303065F">
              <w:t xml:space="preserve"> </w:t>
            </w:r>
            <w:r w:rsidR="737AE12E">
              <w:t>og</w:t>
            </w:r>
            <w:r w:rsidR="5303065F">
              <w:t xml:space="preserve"> vil</w:t>
            </w:r>
            <w:r w:rsidR="373B1D0F">
              <w:t xml:space="preserve"> omfatte få </w:t>
            </w:r>
            <w:r w:rsidR="3287CD3D">
              <w:t xml:space="preserve">nye </w:t>
            </w:r>
            <w:r w:rsidR="373B1D0F">
              <w:t>pasienter hvert år</w:t>
            </w:r>
            <w:r w:rsidR="18A64E38">
              <w:t xml:space="preserve">. </w:t>
            </w:r>
            <w:r w:rsidR="6B31C314">
              <w:t xml:space="preserve">Budsjettkonsekvenser ved innføring av denne indikasjonsutvidelsen vil derfor være </w:t>
            </w:r>
            <w:r w:rsidR="0014F682">
              <w:t>begrenset</w:t>
            </w:r>
            <w:r w:rsidR="6B31C314">
              <w:t>.</w:t>
            </w:r>
          </w:p>
          <w:p w14:paraId="740F9806" w14:textId="77777777" w:rsidR="002B785C" w:rsidRDefault="002B785C" w:rsidP="00963836">
            <w:pPr>
              <w:spacing w:line="276" w:lineRule="auto"/>
            </w:pPr>
          </w:p>
          <w:p w14:paraId="33BDEA52" w14:textId="15C024DB" w:rsidR="00866B48" w:rsidRDefault="6E0D8330" w:rsidP="00963836">
            <w:pPr>
              <w:spacing w:line="276" w:lineRule="auto"/>
            </w:pPr>
            <w:r>
              <w:t xml:space="preserve">Keytruda er et etablert legemiddel som nå har gjennomgått 10 hurtige metodevurderinger og vist god effekt, sikkerhet og kostnadseffektivitet </w:t>
            </w:r>
            <w:r w:rsidR="002B785C">
              <w:t>ved</w:t>
            </w:r>
            <w:r>
              <w:t xml:space="preserve"> flere tumortyper. </w:t>
            </w:r>
            <w:r w:rsidR="20CE5DE3">
              <w:t>En forenklet vurdering vil være</w:t>
            </w:r>
            <w:r w:rsidR="3C02D682">
              <w:t xml:space="preserve"> vil kun</w:t>
            </w:r>
            <w:r w:rsidR="7DABFBB7">
              <w:t>ne gi raskere tilgang til ny effektiv og tolerabel behandling</w:t>
            </w:r>
            <w:r w:rsidR="0B492A46">
              <w:t xml:space="preserve"> til denne pasientgruppen</w:t>
            </w:r>
            <w:r w:rsidR="2E920504">
              <w:t>.</w:t>
            </w:r>
          </w:p>
        </w:tc>
      </w:tr>
    </w:tbl>
    <w:p w14:paraId="647A9BB0" w14:textId="77777777" w:rsidR="00A97309" w:rsidRPr="003F1CE3" w:rsidRDefault="00A97309" w:rsidP="097A4CBD">
      <w:pPr>
        <w:rPr>
          <w:b/>
          <w:bCs/>
        </w:rPr>
      </w:pPr>
    </w:p>
    <w:p w14:paraId="37F83A09" w14:textId="23799B8B" w:rsidR="00C354DD" w:rsidRDefault="00C354DD" w:rsidP="097A4CBD">
      <w:pPr>
        <w:rPr>
          <w:b/>
          <w:bCs/>
        </w:rPr>
      </w:pPr>
      <w:r w:rsidRPr="097A4CBD">
        <w:rPr>
          <w:b/>
          <w:bCs/>
        </w:rPr>
        <w:t>Nærmere informasjon om metoden</w:t>
      </w:r>
      <w:r w:rsidR="002879D8" w:rsidRPr="097A4CBD">
        <w:rPr>
          <w:b/>
          <w:bCs/>
        </w:rPr>
        <w:t xml:space="preserve"> og innspill til PICO</w:t>
      </w:r>
      <w:r w:rsidR="00702941" w:rsidRPr="097A4CBD">
        <w:rPr>
          <w:b/>
          <w:bCs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97A4CBD">
        <w:rPr>
          <w:sz w:val="16"/>
          <w:szCs w:val="16"/>
        </w:rPr>
        <w:t>*PICO er et verktøy for å formulere presise problemstillinger i metodevurderingsarbeid. PICO er en forkortelse for Population/Problem – Intervention – Comparison – Outcome. PICO brukes til å presisere hvilken populasjon/problem som skal studeres, hvilke(t) tiltak (metode/behandling) som skal vurderes, hvilket tiltak</w:t>
      </w:r>
      <w:r w:rsidRPr="097A4CBD">
        <w:rPr>
          <w:strike/>
          <w:sz w:val="16"/>
          <w:szCs w:val="16"/>
        </w:rPr>
        <w:t xml:space="preserve"> </w:t>
      </w:r>
      <w:r w:rsidRPr="097A4CBD">
        <w:rPr>
          <w:sz w:val="16"/>
          <w:szCs w:val="16"/>
        </w:rPr>
        <w:t xml:space="preserve">det er naturlig å sammenligne med, og hvilke utfall/endepunkter det </w:t>
      </w:r>
      <w:r w:rsidRPr="097A4CBD">
        <w:rPr>
          <w:strike/>
          <w:sz w:val="16"/>
          <w:szCs w:val="16"/>
        </w:rPr>
        <w:t>å</w:t>
      </w:r>
      <w:r w:rsidRPr="097A4CBD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2E6AE1AF">
        <w:tc>
          <w:tcPr>
            <w:tcW w:w="8784" w:type="dxa"/>
          </w:tcPr>
          <w:p w14:paraId="48D74076" w14:textId="2223CAC0" w:rsidR="003E11D8" w:rsidRDefault="00702941" w:rsidP="00D1082E">
            <w:pPr>
              <w:pStyle w:val="Heading3"/>
              <w:spacing w:after="240"/>
              <w:jc w:val="both"/>
              <w:outlineLvl w:val="2"/>
            </w:pPr>
            <w:r w:rsidRPr="097A4CBD">
              <w:rPr>
                <w:color w:val="auto"/>
              </w:rPr>
              <w:t>4</w:t>
            </w:r>
            <w:r w:rsidR="0C497AD3" w:rsidRPr="097A4CBD">
              <w:rPr>
                <w:color w:val="auto"/>
              </w:rPr>
              <w:t>. Kjenner du til</w:t>
            </w:r>
            <w:r w:rsidR="003E11D8" w:rsidRPr="097A4CBD">
              <w:rPr>
                <w:color w:val="auto"/>
              </w:rPr>
              <w:t xml:space="preserve"> </w:t>
            </w:r>
            <w:r w:rsidR="004C5BF6" w:rsidRPr="097A4CBD">
              <w:rPr>
                <w:color w:val="auto"/>
              </w:rPr>
              <w:t xml:space="preserve">om </w:t>
            </w:r>
            <w:r w:rsidR="003E11D8" w:rsidRPr="097A4CBD">
              <w:rPr>
                <w:color w:val="auto"/>
              </w:rPr>
              <w:t>metoden</w:t>
            </w:r>
            <w:r w:rsidR="0C497AD3" w:rsidRPr="097A4CBD">
              <w:rPr>
                <w:color w:val="auto"/>
              </w:rPr>
              <w:t xml:space="preserve"> er i bruk</w:t>
            </w:r>
            <w:r w:rsidR="003E11D8" w:rsidRPr="097A4CBD">
              <w:rPr>
                <w:color w:val="auto"/>
              </w:rPr>
              <w:t xml:space="preserve"> i Norge i dag?</w:t>
            </w:r>
            <w:r w:rsidR="003E11D8">
              <w:t xml:space="preserve"> </w:t>
            </w:r>
          </w:p>
        </w:tc>
      </w:tr>
      <w:tr w:rsidR="003E11D8" w14:paraId="6FAB4BB9" w14:textId="77777777" w:rsidTr="2E6AE1AF">
        <w:trPr>
          <w:trHeight w:val="859"/>
        </w:trPr>
        <w:tc>
          <w:tcPr>
            <w:tcW w:w="8784" w:type="dxa"/>
          </w:tcPr>
          <w:p w14:paraId="5BB5D6A3" w14:textId="2C60F3B2" w:rsidR="003E11D8" w:rsidRDefault="005079D3" w:rsidP="00C97B1C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</w:p>
          <w:p w14:paraId="1E71CD6E" w14:textId="77777777" w:rsidR="00963836" w:rsidRDefault="00963836" w:rsidP="00C97B1C"/>
          <w:p w14:paraId="2ABE2689" w14:textId="0EE2BFAB" w:rsidR="00B62C30" w:rsidRDefault="0611BF8F" w:rsidP="00B62C30">
            <w:r>
              <w:t>En lang rekke indikasjoner er regulatorisk godkjent i EMA og Norge.</w:t>
            </w:r>
          </w:p>
          <w:p w14:paraId="2BDFBA45" w14:textId="77777777" w:rsidR="00963836" w:rsidRDefault="00963836" w:rsidP="00B62C30"/>
          <w:p w14:paraId="5BD910BD" w14:textId="523C7181" w:rsidR="00B62C30" w:rsidRDefault="4D113887" w:rsidP="00B62C30">
            <w:r>
              <w:t>Beslutningsforum har godkjent ulike indikasjoner i Norge. Per 1</w:t>
            </w:r>
            <w:r w:rsidR="22252E3F">
              <w:t>4</w:t>
            </w:r>
            <w:r w:rsidR="385CF4BF">
              <w:t>.10</w:t>
            </w:r>
            <w:r>
              <w:t>.2020 er følgende godkjent av Beslutningsforum:</w:t>
            </w:r>
          </w:p>
          <w:p w14:paraId="3163FAA1" w14:textId="77777777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t xml:space="preserve">ID-nr 2014_034: Pembrolizumab (Keytruda) for behandling av avansert malignt melanom </w:t>
            </w:r>
          </w:p>
          <w:p w14:paraId="6392AF67" w14:textId="77777777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t xml:space="preserve">ID-nr 2014_041: Pembrolizumab (Keytruda) Andrelinjebehandling av ikkesmåcellet lungekreft </w:t>
            </w:r>
          </w:p>
          <w:p w14:paraId="0D5FF61C" w14:textId="77777777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t xml:space="preserve">ID-nr 2016_067: Førstelinjebehandling av ikke-småcellet lungekreft </w:t>
            </w:r>
          </w:p>
          <w:p w14:paraId="35715508" w14:textId="77777777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t xml:space="preserve">ID-nr 2017_005: Pembrolizumab for behandling av tilbakevendende (residiv) eller behandlingsrefraktær Hodgkins lymfom </w:t>
            </w:r>
          </w:p>
          <w:p w14:paraId="57D7EAF9" w14:textId="2FF8EBC8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t xml:space="preserve">ID-nr 2017_060: Pembrolizumab (Keytruda) til behandling av blærekreft (urotelkarsinom). </w:t>
            </w:r>
          </w:p>
          <w:p w14:paraId="403A21C1" w14:textId="18093AFC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t>ID-nr 2018_043: Pembrolizumab (Keytruda) i kombinasjon med pemetreksed og platinumholdig kjemoterapi ved førstelinjebehandling av ikke-småcellet lungekreft.</w:t>
            </w:r>
          </w:p>
          <w:p w14:paraId="240177CA" w14:textId="02FAB158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ID2018_067: Pembrolizumab (Keytruda) til adjuvant behandling av voksne pasienter etter fullstendig reseksjon av melanom stadium III.</w:t>
            </w:r>
          </w:p>
          <w:p w14:paraId="66723D08" w14:textId="7F2E9DFD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t>ID2019_045: Pembrolizumab (Keytruda) i kombinasjon med axitinib (Inlyta) til førstelinjebehandling av avansert eller metastatisk nyrecellekarsinom.</w:t>
            </w:r>
          </w:p>
          <w:p w14:paraId="3A6FEDDE" w14:textId="77777777" w:rsidR="00DB1E18" w:rsidRDefault="00DB1E18" w:rsidP="00DB1E18">
            <w:pPr>
              <w:pStyle w:val="ListParagraph"/>
            </w:pPr>
          </w:p>
          <w:p w14:paraId="44B45063" w14:textId="5031DAC1" w:rsidR="00B62C30" w:rsidRDefault="584B5CFC" w:rsidP="00C97B1C">
            <w:r>
              <w:t xml:space="preserve">To ytterligere indikasjoner er ferdigstilt hos </w:t>
            </w:r>
            <w:r w:rsidR="7BB3AFE2">
              <w:t xml:space="preserve">Legemiddelverket </w:t>
            </w:r>
            <w:r>
              <w:t xml:space="preserve">og skal til Beslutningsforum for nye metoder </w:t>
            </w:r>
            <w:r w:rsidR="79FFCED9">
              <w:t>i løpet av kort tid</w:t>
            </w:r>
            <w:r w:rsidR="776233FA">
              <w:t>.</w:t>
            </w:r>
          </w:p>
          <w:p w14:paraId="6744093E" w14:textId="61438A4A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t>ID2018_125: Pembrolizumab (Keytruda) i kombinasjon med karboplatin og enten paklitaksel eller nab-paklitaksel ved førstelinjebehandling av metastatisk plateepitel ikke-småcellet lungekreft.</w:t>
            </w:r>
          </w:p>
          <w:p w14:paraId="4D02183D" w14:textId="73053A55" w:rsidR="00B62C30" w:rsidRDefault="0611BF8F" w:rsidP="00B62C30">
            <w:pPr>
              <w:pStyle w:val="ListParagraph"/>
              <w:numPr>
                <w:ilvl w:val="0"/>
                <w:numId w:val="9"/>
              </w:numPr>
            </w:pPr>
            <w:r>
              <w:t>ID2019_025: Pembrolizumab (Keytruda) til bruk som monoterapi eller i kombinasjon med platinumholdig kjemoterapi og 5-fluorouracil (5-FU) i førstelinjebehandling av residiverende eller metastatisk plateepitelkarsinom i hode og hals.</w:t>
            </w:r>
          </w:p>
          <w:p w14:paraId="2A9BC32B" w14:textId="77777777" w:rsidR="00DB1E18" w:rsidRDefault="00DB1E18" w:rsidP="00DB1E18">
            <w:pPr>
              <w:pStyle w:val="ListParagraph"/>
            </w:pPr>
          </w:p>
          <w:p w14:paraId="69F80893" w14:textId="6BD5D72A" w:rsidR="003E11D8" w:rsidRDefault="005079D3" w:rsidP="00C97B1C">
            <w:r>
              <w:t>Fra hvilket tidspunkt har den</w:t>
            </w:r>
            <w:r w:rsidR="003E11D8">
              <w:t xml:space="preserve"> vært i bruk:</w:t>
            </w:r>
            <w:r w:rsidR="0611BF8F">
              <w:t xml:space="preserve"> 25.11.2015</w:t>
            </w:r>
          </w:p>
          <w:p w14:paraId="6B6DD5AD" w14:textId="494E6BB6" w:rsidR="003E11D8" w:rsidRDefault="6B24D60B" w:rsidP="00C97B1C">
            <w:r>
              <w:t>Hvor er eventuelt metoden</w:t>
            </w:r>
            <w:r w:rsidR="005079D3">
              <w:t xml:space="preserve"> i bruk:</w:t>
            </w:r>
            <w:r w:rsidR="0611BF8F">
              <w:t xml:space="preserve"> Hele Norge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2E6AE1AF">
        <w:tc>
          <w:tcPr>
            <w:tcW w:w="8613" w:type="dxa"/>
          </w:tcPr>
          <w:p w14:paraId="08E5664F" w14:textId="172517FB" w:rsidR="00643E8D" w:rsidRDefault="00702941" w:rsidP="0091218A">
            <w:pPr>
              <w:pStyle w:val="Heading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:rsidRPr="002B785C" w14:paraId="3110D1F4" w14:textId="77777777" w:rsidTr="2E6AE1AF">
        <w:trPr>
          <w:trHeight w:val="501"/>
        </w:trPr>
        <w:tc>
          <w:tcPr>
            <w:tcW w:w="8613" w:type="dxa"/>
          </w:tcPr>
          <w:p w14:paraId="05F5A63D" w14:textId="77777777" w:rsidR="00963836" w:rsidRDefault="00E10066" w:rsidP="00963836">
            <w:pPr>
              <w:spacing w:line="276" w:lineRule="auto"/>
              <w:rPr>
                <w:lang w:val="en-US"/>
              </w:rPr>
            </w:pPr>
            <w:r w:rsidRPr="002B785C">
              <w:rPr>
                <w:lang w:val="en-US"/>
              </w:rPr>
              <w:t>B</w:t>
            </w:r>
            <w:r w:rsidR="00643E8D" w:rsidRPr="002B785C">
              <w:rPr>
                <w:lang w:val="en-US"/>
              </w:rPr>
              <w:t>eskriv kortfattet:</w:t>
            </w:r>
            <w:r w:rsidR="00963836">
              <w:rPr>
                <w:lang w:val="en-US"/>
              </w:rPr>
              <w:t xml:space="preserve"> </w:t>
            </w:r>
          </w:p>
          <w:p w14:paraId="4A476C41" w14:textId="65709766" w:rsidR="00643E8D" w:rsidRPr="00963836" w:rsidRDefault="03501062" w:rsidP="00753D17">
            <w:pPr>
              <w:spacing w:before="240" w:line="276" w:lineRule="auto"/>
              <w:rPr>
                <w:lang w:val="en-US"/>
              </w:rPr>
            </w:pPr>
            <w:r w:rsidRPr="00753D17">
              <w:rPr>
                <w:lang w:val="en-US"/>
              </w:rPr>
              <w:t xml:space="preserve">Foreløpig indikasjonstekst </w:t>
            </w:r>
            <w:r w:rsidR="00753D17">
              <w:rPr>
                <w:lang w:val="en-US"/>
              </w:rPr>
              <w:t>er</w:t>
            </w:r>
            <w:r w:rsidR="7D7B14EB" w:rsidRPr="00753D17">
              <w:rPr>
                <w:lang w:val="en-US"/>
              </w:rPr>
              <w:t>:</w:t>
            </w:r>
            <w:r w:rsidR="49E5AD7D" w:rsidRPr="002B785C">
              <w:rPr>
                <w:lang w:val="en-US"/>
              </w:rPr>
              <w:t xml:space="preserve"> </w:t>
            </w:r>
            <w:r w:rsidR="49E5AD7D" w:rsidRPr="00963836">
              <w:rPr>
                <w:i/>
                <w:iCs/>
                <w:lang w:val="en-US"/>
              </w:rPr>
              <w:t>KEYTRUDA as monotherapy is indicated for the first-line treatment of unresectable or metastatic microsatellite instability-high (MSI-H) or mismatch repair deficient (dMMR) colorectal cancer in adults</w:t>
            </w:r>
            <w:r w:rsidR="4B06313C" w:rsidRPr="00963836">
              <w:rPr>
                <w:i/>
                <w:iCs/>
                <w:lang w:val="en-US"/>
              </w:rPr>
              <w:t>.</w:t>
            </w:r>
          </w:p>
        </w:tc>
      </w:tr>
    </w:tbl>
    <w:p w14:paraId="4438F0FD" w14:textId="77777777" w:rsidR="00702941" w:rsidRPr="002B785C" w:rsidRDefault="0070294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3EC327EC">
        <w:tc>
          <w:tcPr>
            <w:tcW w:w="8613" w:type="dxa"/>
          </w:tcPr>
          <w:p w14:paraId="1E209B8C" w14:textId="0DC26343" w:rsidR="003E11D8" w:rsidRDefault="00702941" w:rsidP="0091218A">
            <w:pPr>
              <w:pStyle w:val="Heading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3EC327EC">
        <w:trPr>
          <w:trHeight w:val="406"/>
        </w:trPr>
        <w:tc>
          <w:tcPr>
            <w:tcW w:w="8613" w:type="dxa"/>
          </w:tcPr>
          <w:p w14:paraId="68BF3317" w14:textId="45744DB2" w:rsidR="003F463F" w:rsidRDefault="264A2CB2" w:rsidP="3EC327EC">
            <w:pPr>
              <w:spacing w:after="200" w:line="276" w:lineRule="auto"/>
            </w:pPr>
            <w:r>
              <w:t>B</w:t>
            </w:r>
            <w:r w:rsidR="003E11D8">
              <w:t>eskriv kortfattet:</w:t>
            </w:r>
          </w:p>
          <w:p w14:paraId="4AD6CA18" w14:textId="130C810F" w:rsidR="003F463F" w:rsidRDefault="17960076" w:rsidP="3EC327EC">
            <w:pPr>
              <w:spacing w:after="200" w:line="276" w:lineRule="auto"/>
            </w:pPr>
            <w:r>
              <w:t xml:space="preserve">I de nasjonale retningslinjene </w:t>
            </w:r>
            <w:r w:rsidR="7919C852">
              <w:t xml:space="preserve">for tykktarm og endetarm </w:t>
            </w:r>
            <w:r>
              <w:t>(</w:t>
            </w:r>
            <w:r w:rsidR="7919C852">
              <w:t>publisert 09/2019</w:t>
            </w:r>
            <w:r>
              <w:t xml:space="preserve">) anbefales ulike kombinasjoner av kjemoterapi som førstelinjebehandling for pasienter med tykk- og endetarmskreft. Behandlingene anses som palliativ behandling. Kjemoterapi gitt som infusjonsregimer kombinert med antistoff synes å gi størst regress. Valg av kombinasjonsterapi avhenger av RAS status, pasientens allmenntilstand, toleranse for antistoffbehandling </w:t>
            </w:r>
            <w:r w:rsidR="002075A8">
              <w:t xml:space="preserve">og alder. </w:t>
            </w:r>
            <w:r w:rsidR="049C8227">
              <w:t xml:space="preserve">Det finnes per </w:t>
            </w:r>
            <w:r w:rsidR="2464A13B">
              <w:t xml:space="preserve">dags </w:t>
            </w:r>
            <w:r w:rsidR="049C8227">
              <w:t xml:space="preserve">dato ingen </w:t>
            </w:r>
            <w:r w:rsidR="56E25107">
              <w:t xml:space="preserve">nasjonale </w:t>
            </w:r>
            <w:r w:rsidR="049C8227">
              <w:t xml:space="preserve">retningslinjer </w:t>
            </w:r>
            <w:r w:rsidR="448F4C85">
              <w:t>som beskriver</w:t>
            </w:r>
            <w:r w:rsidR="049C8227">
              <w:t xml:space="preserve"> behandling av ubehandlede mCRC </w:t>
            </w:r>
            <w:r w:rsidR="2E3587A2">
              <w:t xml:space="preserve">pasienter </w:t>
            </w:r>
            <w:r w:rsidR="049C8227">
              <w:t>med MSI-H</w:t>
            </w:r>
            <w:r w:rsidR="3E266A05">
              <w:t xml:space="preserve"> siden dette er de</w:t>
            </w:r>
            <w:r w:rsidR="00753D17">
              <w:t>n</w:t>
            </w:r>
            <w:r w:rsidR="3E266A05">
              <w:t xml:space="preserve"> første nye metoden for denne pasientgruppen</w:t>
            </w:r>
            <w:r w:rsidR="049C8227">
              <w:t>.</w:t>
            </w:r>
            <w:r>
              <w:t xml:space="preserve">  </w:t>
            </w:r>
          </w:p>
        </w:tc>
      </w:tr>
    </w:tbl>
    <w:p w14:paraId="70F4CB22" w14:textId="0A7470A3" w:rsidR="00C354DD" w:rsidRDefault="00C35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3EC327EC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3EC327EC">
        <w:trPr>
          <w:trHeight w:val="501"/>
        </w:trPr>
        <w:tc>
          <w:tcPr>
            <w:tcW w:w="8613" w:type="dxa"/>
          </w:tcPr>
          <w:p w14:paraId="59AD5781" w14:textId="10E123DA" w:rsidR="002075A8" w:rsidRDefault="002B3123" w:rsidP="00643E8D">
            <w:r>
              <w:t xml:space="preserve">Hva kan oppfattes som en fordel for pasienter og brukere med denne metoden sammenlignet med aktuelle alternativer? Hvilke endepunkter/resultater av behandlingen er det aktuelt å måle? </w:t>
            </w:r>
            <w:r w:rsidR="5B38C64E">
              <w:t>Beskriv kortfattet:</w:t>
            </w:r>
          </w:p>
          <w:p w14:paraId="1B4CF02C" w14:textId="63FB7B5A" w:rsidR="00DF1A2B" w:rsidRDefault="5DE03C01" w:rsidP="00753D17">
            <w:pPr>
              <w:spacing w:before="240" w:line="276" w:lineRule="auto"/>
            </w:pPr>
            <w:r>
              <w:t>Ved en median oppfølgingstid på 32,4 måneder (24,0 - 48,3), viser f</w:t>
            </w:r>
            <w:r w:rsidR="2A3ABF74">
              <w:t xml:space="preserve">ase III-studien Keynote-177 </w:t>
            </w:r>
            <w:r w:rsidR="216BC8AA">
              <w:t xml:space="preserve">en </w:t>
            </w:r>
            <w:r>
              <w:t xml:space="preserve">signifikant gevinst i PFS </w:t>
            </w:r>
            <w:r w:rsidR="216BC8AA">
              <w:t xml:space="preserve">ved behandling med Keytruda sammenlignet med </w:t>
            </w:r>
            <w:r w:rsidR="40F1DDFE">
              <w:t>kjemoterapi med</w:t>
            </w:r>
            <w:r w:rsidR="216BC8AA">
              <w:t xml:space="preserve"> henholdsvis </w:t>
            </w:r>
            <w:r w:rsidR="74B34C16">
              <w:t xml:space="preserve">mPFS på </w:t>
            </w:r>
            <w:r w:rsidR="216BC8AA">
              <w:t xml:space="preserve">16,5 måneder </w:t>
            </w:r>
            <w:r w:rsidR="74B34C16">
              <w:t>vs</w:t>
            </w:r>
            <w:r w:rsidR="15389644">
              <w:t xml:space="preserve">. </w:t>
            </w:r>
            <w:r w:rsidR="216BC8AA">
              <w:t>8,2 måneder</w:t>
            </w:r>
            <w:r w:rsidR="74B34C16">
              <w:t xml:space="preserve"> (HR 0,60, 95% KI: 0,45-0,80) respektivt</w:t>
            </w:r>
            <w:r w:rsidR="216BC8AA">
              <w:t>.</w:t>
            </w:r>
            <w:r w:rsidR="74B34C16">
              <w:t xml:space="preserve"> </w:t>
            </w:r>
            <w:r w:rsidR="137A1BBA">
              <w:t xml:space="preserve">Studien viser en statistisk signifikant </w:t>
            </w:r>
            <w:r w:rsidR="28109EC7">
              <w:t>for</w:t>
            </w:r>
            <w:bookmarkStart w:id="0" w:name="_GoBack"/>
            <w:bookmarkEnd w:id="0"/>
            <w:r w:rsidR="28109EC7">
              <w:t xml:space="preserve">bedret </w:t>
            </w:r>
            <w:r w:rsidR="137A1BBA">
              <w:t>varighet av respons hos pasienter behandlet med Keytruda</w:t>
            </w:r>
            <w:r w:rsidR="3FFD1C8E">
              <w:t xml:space="preserve"> sammenlignet med kjemoterapi</w:t>
            </w:r>
            <w:r w:rsidR="3D25F7D1">
              <w:t>, der henholdsvis 83% mot 35% fremdeles hadde respons etter 24 måneder.</w:t>
            </w:r>
            <w:r w:rsidR="74B34C16">
              <w:t xml:space="preserve"> </w:t>
            </w:r>
          </w:p>
          <w:p w14:paraId="41B8121F" w14:textId="77777777" w:rsidR="00963836" w:rsidRDefault="00963836" w:rsidP="00963836">
            <w:pPr>
              <w:spacing w:line="276" w:lineRule="auto"/>
            </w:pPr>
          </w:p>
          <w:p w14:paraId="3D37D8D1" w14:textId="7F8D2377" w:rsidR="002B3123" w:rsidRDefault="35F38978" w:rsidP="00963836">
            <w:pPr>
              <w:spacing w:line="276" w:lineRule="auto"/>
            </w:pPr>
            <w:r>
              <w:t xml:space="preserve">Behandling med Keytruda viser en forbedret bivirkningsprofil sammenlignet med kjemoterapi. </w:t>
            </w:r>
            <w:r w:rsidR="55970E98">
              <w:t>For behandling med Keytruda ble det observert 22% legemiddelrelaterte bivirkninger (grad 3-5), sammenlignet med 66% for pasienter behandlet med kjemoterapi.</w:t>
            </w:r>
            <w:r w:rsidR="512FA4F5">
              <w:t xml:space="preserve"> Resultater fra</w:t>
            </w:r>
            <w:r w:rsidR="35753644">
              <w:t xml:space="preserve"> pasientrapporterte utfall målt gjennom EORTC QLQ-C30 GHS/QoL </w:t>
            </w:r>
            <w:r w:rsidR="00963836">
              <w:t>i</w:t>
            </w:r>
            <w:r w:rsidR="35753644">
              <w:t xml:space="preserve"> Keynote-177</w:t>
            </w:r>
            <w:r w:rsidR="1B49BD64">
              <w:t xml:space="preserve"> </w:t>
            </w:r>
            <w:r w:rsidR="11B6F85B">
              <w:t>viser forbedret</w:t>
            </w:r>
            <w:r w:rsidR="4094A63C">
              <w:t>e</w:t>
            </w:r>
            <w:r w:rsidR="11B6F85B">
              <w:t xml:space="preserve"> helserelatert</w:t>
            </w:r>
            <w:r w:rsidR="1C2DCFDA">
              <w:t>e</w:t>
            </w:r>
            <w:r w:rsidR="11B6F85B">
              <w:t xml:space="preserve"> livskvalitet </w:t>
            </w:r>
            <w:r w:rsidR="610BCED4">
              <w:t xml:space="preserve">over tid </w:t>
            </w:r>
            <w:r w:rsidR="6D51F00A">
              <w:t xml:space="preserve">ved behandling </w:t>
            </w:r>
            <w:r w:rsidR="11B6F85B">
              <w:t>med Keytruda</w:t>
            </w:r>
            <w:r w:rsidR="00963836">
              <w:t>,</w:t>
            </w:r>
            <w:r w:rsidR="11B6F85B">
              <w:t xml:space="preserve"> </w:t>
            </w:r>
            <w:r w:rsidR="7DFADB6E">
              <w:t xml:space="preserve"> </w:t>
            </w:r>
            <w:r w:rsidR="11B6F85B">
              <w:t>sammenlignet med kjemoterapi</w:t>
            </w:r>
            <w:r w:rsidR="4ABB2707">
              <w:t xml:space="preserve"> som viser en forverring</w:t>
            </w:r>
            <w:r w:rsidR="1A1A3A42">
              <w:t xml:space="preserve"> av helserelaterte livskvalitet</w:t>
            </w:r>
            <w:r w:rsidR="4ABB2707">
              <w:t xml:space="preserve"> over tid</w:t>
            </w:r>
            <w:r w:rsidR="11B6F85B">
              <w:t>.</w:t>
            </w:r>
          </w:p>
        </w:tc>
      </w:tr>
    </w:tbl>
    <w:p w14:paraId="5C17607C" w14:textId="77777777" w:rsidR="00643E8D" w:rsidRDefault="00643E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0C8B17B7" w14:textId="5CF1236C" w:rsidR="00821413" w:rsidRPr="00F7041E" w:rsidRDefault="002B3123" w:rsidP="00C97B1C">
            <w:pPr>
              <w:rPr>
                <w:i/>
              </w:rPr>
            </w:pPr>
            <w:r>
              <w:t>Foreligger det CE-merking for bruksområdet som beskrives i metoden? I så fall angi type og tidspunkt:</w:t>
            </w:r>
          </w:p>
        </w:tc>
      </w:tr>
    </w:tbl>
    <w:p w14:paraId="21692557" w14:textId="77777777" w:rsidR="003E11D8" w:rsidRDefault="003E11D8" w:rsidP="003E1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4EB3387F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Heading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4EB3387F">
        <w:trPr>
          <w:trHeight w:val="725"/>
        </w:trPr>
        <w:tc>
          <w:tcPr>
            <w:tcW w:w="8613" w:type="dxa"/>
          </w:tcPr>
          <w:p w14:paraId="0B65139B" w14:textId="3DFBE0BF" w:rsidR="005079D3" w:rsidRDefault="002B3123" w:rsidP="00963836">
            <w:pPr>
              <w:spacing w:line="276" w:lineRule="auto"/>
            </w:pPr>
            <w:r>
              <w:t>Har legemiddelet MT for indikasjonen som omfattes av metoden? Angi i så fall tidspunkt</w:t>
            </w:r>
            <w:r w:rsidR="7B369711">
              <w:t xml:space="preserve"> eller ventet </w:t>
            </w:r>
            <w:r w:rsidR="00D1082E">
              <w:t>tidspunkt for MT</w:t>
            </w:r>
            <w:r>
              <w:t>:</w:t>
            </w:r>
          </w:p>
          <w:p w14:paraId="0ADFF3A9" w14:textId="1F3D3012" w:rsidR="009C40CB" w:rsidRDefault="002075A8" w:rsidP="00963836">
            <w:pPr>
              <w:spacing w:before="240" w:line="276" w:lineRule="auto"/>
            </w:pPr>
            <w:r>
              <w:t xml:space="preserve">Metoden omfatter en </w:t>
            </w:r>
            <w:r w:rsidR="6B457943">
              <w:t>ny indikasjon for Keytruda</w:t>
            </w:r>
            <w:r>
              <w:t xml:space="preserve">. Metoden er under vurdering hos EMA.  </w:t>
            </w:r>
          </w:p>
        </w:tc>
      </w:tr>
    </w:tbl>
    <w:p w14:paraId="4ADCED26" w14:textId="77777777" w:rsidR="00C354DD" w:rsidRDefault="00C35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3EC327EC">
        <w:tc>
          <w:tcPr>
            <w:tcW w:w="8613" w:type="dxa"/>
          </w:tcPr>
          <w:p w14:paraId="1882A0C0" w14:textId="489CB5D9" w:rsidR="003E11D8" w:rsidRDefault="00B17578" w:rsidP="00821413">
            <w:pPr>
              <w:pStyle w:val="Heading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:rsidRPr="00380FE8" w14:paraId="25DA1048" w14:textId="77777777" w:rsidTr="3EC327EC">
        <w:trPr>
          <w:trHeight w:val="601"/>
        </w:trPr>
        <w:tc>
          <w:tcPr>
            <w:tcW w:w="8613" w:type="dxa"/>
          </w:tcPr>
          <w:p w14:paraId="31C3211C" w14:textId="1C4AB921" w:rsidR="00D53539" w:rsidRPr="00380FE8" w:rsidRDefault="600AF9E6" w:rsidP="3EC327EC">
            <w:pPr>
              <w:spacing w:after="200" w:line="276" w:lineRule="auto"/>
            </w:pPr>
            <w:r>
              <w:t>Mikrosa</w:t>
            </w:r>
            <w:r w:rsidR="5741333F">
              <w:t xml:space="preserve">telitt </w:t>
            </w:r>
            <w:r w:rsidR="00963836">
              <w:t>ustabilitet</w:t>
            </w:r>
            <w:r>
              <w:t xml:space="preserve"> (MSI)</w:t>
            </w:r>
            <w:r w:rsidR="471353BF">
              <w:t xml:space="preserve"> </w:t>
            </w:r>
            <w:r>
              <w:t>er en gen</w:t>
            </w:r>
            <w:r w:rsidR="49B1617D">
              <w:t>e</w:t>
            </w:r>
            <w:r>
              <w:t>ti</w:t>
            </w:r>
            <w:r w:rsidR="659DE197">
              <w:t>sk tilstand der det for</w:t>
            </w:r>
            <w:r w:rsidR="0FE08DF4">
              <w:t>e</w:t>
            </w:r>
            <w:r w:rsidR="659DE197">
              <w:t xml:space="preserve">kommer </w:t>
            </w:r>
            <w:r w:rsidR="2222460B">
              <w:t xml:space="preserve">høy grad av mutasjoner </w:t>
            </w:r>
            <w:r w:rsidR="23620989">
              <w:t xml:space="preserve">in arvematerialet </w:t>
            </w:r>
            <w:r w:rsidR="0E28A8C6">
              <w:t xml:space="preserve">på grunn av </w:t>
            </w:r>
            <w:r w:rsidR="7AF763BA">
              <w:t>tap av</w:t>
            </w:r>
            <w:r w:rsidR="0E28A8C6">
              <w:t xml:space="preserve"> DNA reparasj</w:t>
            </w:r>
            <w:r w:rsidR="1958BEC0">
              <w:t>ons</w:t>
            </w:r>
            <w:r w:rsidR="7AF763BA">
              <w:t>proteiner</w:t>
            </w:r>
            <w:r w:rsidR="6762FD76">
              <w:t xml:space="preserve"> (</w:t>
            </w:r>
            <w:r w:rsidR="59426697">
              <w:t>mismatch repair deficency</w:t>
            </w:r>
            <w:r w:rsidR="39168760">
              <w:t>/dMMR</w:t>
            </w:r>
            <w:r w:rsidR="59426697">
              <w:t>)</w:t>
            </w:r>
            <w:r w:rsidR="1430262E">
              <w:t xml:space="preserve">. </w:t>
            </w:r>
            <w:r w:rsidR="7AF763BA">
              <w:t xml:space="preserve">Fire DNA reparasjonsproteiner jobber vanligvis sammen i par om å reparere </w:t>
            </w:r>
            <w:r w:rsidR="4840B33E">
              <w:t xml:space="preserve">slike </w:t>
            </w:r>
            <w:r w:rsidR="7AF763BA">
              <w:t>DNA skader</w:t>
            </w:r>
            <w:r w:rsidR="39168760">
              <w:t xml:space="preserve"> (MLH1/PMS2/MSH2/MSH6). </w:t>
            </w:r>
            <w:r w:rsidR="7AF763BA">
              <w:t xml:space="preserve">Ved </w:t>
            </w:r>
            <w:r w:rsidR="32EA0546">
              <w:t>funksjons</w:t>
            </w:r>
            <w:r w:rsidR="7AF763BA">
              <w:t>tap av et</w:t>
            </w:r>
            <w:r w:rsidR="32EA0546">
              <w:t xml:space="preserve"> eller flere av</w:t>
            </w:r>
            <w:r w:rsidR="7AF763BA">
              <w:t xml:space="preserve"> disse proteinene </w:t>
            </w:r>
            <w:r w:rsidR="32EA0546">
              <w:t>kan ikke rammefors</w:t>
            </w:r>
            <w:r w:rsidR="3602F9A3">
              <w:t>k</w:t>
            </w:r>
            <w:r w:rsidR="32EA0546">
              <w:t>yvningsmutasjoner som ofte forekommer i DNA mikrosatelitter av repetitivt DNA</w:t>
            </w:r>
            <w:r w:rsidR="39168760">
              <w:t>,</w:t>
            </w:r>
            <w:r w:rsidR="32EA0546">
              <w:t xml:space="preserve"> korrigeres</w:t>
            </w:r>
            <w:r w:rsidR="39168760">
              <w:t xml:space="preserve"> effektivt</w:t>
            </w:r>
            <w:r w:rsidR="32EA0546">
              <w:t>. Dette forårsaker mikro</w:t>
            </w:r>
            <w:r w:rsidR="39168760">
              <w:t>s</w:t>
            </w:r>
            <w:r w:rsidR="32EA0546">
              <w:t>atelitt ustabilitet (MSI)</w:t>
            </w:r>
            <w:r w:rsidR="39168760">
              <w:t>. Tumor med høy grad av mikrosatelitt ustabilitet (MSI-</w:t>
            </w:r>
            <w:r w:rsidR="4840B33E">
              <w:t>H</w:t>
            </w:r>
            <w:r w:rsidR="39168760">
              <w:t>) uttr</w:t>
            </w:r>
            <w:r w:rsidR="4840B33E">
              <w:t>y</w:t>
            </w:r>
            <w:r w:rsidR="39168760">
              <w:t xml:space="preserve">kker 10-100 ganger mer neo-antigener enn mikrosatelitt stabile (MSS) svulster og er assosiert med høyt </w:t>
            </w:r>
            <w:r w:rsidR="39168760">
              <w:lastRenderedPageBreak/>
              <w:t>nivå at tum</w:t>
            </w:r>
            <w:r w:rsidR="15401E32">
              <w:t>o</w:t>
            </w:r>
            <w:r w:rsidR="39168760">
              <w:t xml:space="preserve">r infiltrerende lymfocytter (TILs) og høyt utrykk av sjekkpunktmolekyler slik som PD-L1 (Llosa, et al. </w:t>
            </w:r>
            <w:r w:rsidR="39168760" w:rsidRPr="3EC327EC">
              <w:rPr>
                <w:i/>
                <w:iCs/>
              </w:rPr>
              <w:t>Cancer Discov</w:t>
            </w:r>
            <w:r w:rsidR="39168760">
              <w:t xml:space="preserve">. 2015;5:43-51). Disse tumorene er ofte derfor også mer følsomme for immunterapi. </w:t>
            </w:r>
            <w:r w:rsidR="4840B33E">
              <w:t xml:space="preserve">MSI-H er ansett som en prediktiv biomarkør for </w:t>
            </w:r>
            <w:r w:rsidR="0F2E3DAB">
              <w:t>sjekkpunkthemmere</w:t>
            </w:r>
          </w:p>
        </w:tc>
      </w:tr>
    </w:tbl>
    <w:p w14:paraId="541B1D8A" w14:textId="77777777" w:rsidR="006F6B4F" w:rsidRPr="00380FE8" w:rsidRDefault="006F6B4F" w:rsidP="003E1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097A4CBD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097A4CBD">
        <w:trPr>
          <w:trHeight w:val="1041"/>
        </w:trPr>
        <w:tc>
          <w:tcPr>
            <w:tcW w:w="8613" w:type="dxa"/>
          </w:tcPr>
          <w:p w14:paraId="20A4DF70" w14:textId="77777777" w:rsidR="003E11D8" w:rsidRDefault="003E11D8" w:rsidP="00C97B1C">
            <w:r>
              <w:t>Beskriv kortfattet:</w:t>
            </w:r>
          </w:p>
          <w:p w14:paraId="2DC779F1" w14:textId="7FDAEEAD" w:rsidR="002075A8" w:rsidRDefault="002075A8" w:rsidP="00963836">
            <w:pPr>
              <w:spacing w:before="240"/>
            </w:pPr>
            <w:r>
              <w:t>MSD (Norge) AS markedsfører Keytruda.</w:t>
            </w:r>
          </w:p>
        </w:tc>
      </w:tr>
    </w:tbl>
    <w:p w14:paraId="3D91699A" w14:textId="77777777" w:rsidR="00D1082E" w:rsidRDefault="00D1082E" w:rsidP="00C70E94"/>
    <w:sectPr w:rsidR="00D1082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981FD7" w16cex:dateUtc="2020-10-14T09:52:53.309Z"/>
  <w16cex:commentExtensible w16cex:durableId="3974EDA0" w16cex:dateUtc="2020-10-14T12:10:51.739Z"/>
  <w16cex:commentExtensible w16cex:durableId="117CC434" w16cex:dateUtc="2020-10-14T12:19:54.49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EC375" w14:textId="77777777" w:rsidR="00414E66" w:rsidRDefault="00414E66" w:rsidP="00CB7C65">
      <w:pPr>
        <w:spacing w:after="0" w:line="240" w:lineRule="auto"/>
      </w:pPr>
      <w:r>
        <w:separator/>
      </w:r>
    </w:p>
  </w:endnote>
  <w:endnote w:type="continuationSeparator" w:id="0">
    <w:p w14:paraId="1494333B" w14:textId="77777777" w:rsidR="00414E66" w:rsidRDefault="00414E66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0F136606" w:rsidR="003E11D8" w:rsidRDefault="003E11D8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6D37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B614" w14:textId="77777777" w:rsidR="00414E66" w:rsidRDefault="00414E66" w:rsidP="00CB7C65">
      <w:pPr>
        <w:spacing w:after="0" w:line="240" w:lineRule="auto"/>
      </w:pPr>
      <w:r>
        <w:separator/>
      </w:r>
    </w:p>
  </w:footnote>
  <w:footnote w:type="continuationSeparator" w:id="0">
    <w:p w14:paraId="7C6EC506" w14:textId="77777777" w:rsidR="00414E66" w:rsidRDefault="00414E66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34F3C" w14:textId="6EF503FE" w:rsidR="00CB7C65" w:rsidRDefault="004C0E4A">
    <w:pPr>
      <w:pStyle w:val="Header"/>
    </w:pPr>
    <w:r w:rsidRPr="004C0E4A">
      <w:rPr>
        <w:noProof/>
        <w:color w:val="2B579A"/>
        <w:shd w:val="clear" w:color="auto" w:fill="E6E6E6"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</w:r>
    <w:r w:rsidR="3EC327EC">
      <w:t>v. 1.0 – 21.02.2020</w:t>
    </w:r>
  </w:p>
  <w:p w14:paraId="3CD38C23" w14:textId="77777777" w:rsidR="00CB7C65" w:rsidRDefault="00CB7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8736C"/>
    <w:multiLevelType w:val="hybridMultilevel"/>
    <w:tmpl w:val="85D26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97C1029"/>
    <w:multiLevelType w:val="hybridMultilevel"/>
    <w:tmpl w:val="700AC670"/>
    <w:lvl w:ilvl="0" w:tplc="65BA0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82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348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CA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EC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6C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83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0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C2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5"/>
    <w:rsid w:val="00022462"/>
    <w:rsid w:val="00050590"/>
    <w:rsid w:val="00057B3D"/>
    <w:rsid w:val="0006746C"/>
    <w:rsid w:val="00076738"/>
    <w:rsid w:val="00084340"/>
    <w:rsid w:val="000B50DC"/>
    <w:rsid w:val="001143A3"/>
    <w:rsid w:val="0014F682"/>
    <w:rsid w:val="001959E5"/>
    <w:rsid w:val="001B476D"/>
    <w:rsid w:val="002075A8"/>
    <w:rsid w:val="0023545B"/>
    <w:rsid w:val="0025054C"/>
    <w:rsid w:val="00267B27"/>
    <w:rsid w:val="00267B58"/>
    <w:rsid w:val="002692E3"/>
    <w:rsid w:val="00280E7A"/>
    <w:rsid w:val="002879D8"/>
    <w:rsid w:val="002B3123"/>
    <w:rsid w:val="002B36A3"/>
    <w:rsid w:val="002B785C"/>
    <w:rsid w:val="002C7275"/>
    <w:rsid w:val="002E4930"/>
    <w:rsid w:val="002E524E"/>
    <w:rsid w:val="002F447F"/>
    <w:rsid w:val="002F628F"/>
    <w:rsid w:val="0032B4B1"/>
    <w:rsid w:val="00333470"/>
    <w:rsid w:val="00380FE8"/>
    <w:rsid w:val="0038658A"/>
    <w:rsid w:val="003D297F"/>
    <w:rsid w:val="003E11D8"/>
    <w:rsid w:val="003F03F2"/>
    <w:rsid w:val="003F1CE3"/>
    <w:rsid w:val="003F463F"/>
    <w:rsid w:val="00414E66"/>
    <w:rsid w:val="00426A30"/>
    <w:rsid w:val="00444F95"/>
    <w:rsid w:val="00452A4A"/>
    <w:rsid w:val="004538A4"/>
    <w:rsid w:val="00475694"/>
    <w:rsid w:val="00482A88"/>
    <w:rsid w:val="004B303D"/>
    <w:rsid w:val="004C0E4A"/>
    <w:rsid w:val="004C5BF6"/>
    <w:rsid w:val="004D5DC9"/>
    <w:rsid w:val="00502BA8"/>
    <w:rsid w:val="005079D3"/>
    <w:rsid w:val="005174C4"/>
    <w:rsid w:val="00530EF2"/>
    <w:rsid w:val="005677EC"/>
    <w:rsid w:val="005C6F4B"/>
    <w:rsid w:val="00621A74"/>
    <w:rsid w:val="00643E8D"/>
    <w:rsid w:val="0065595D"/>
    <w:rsid w:val="00663E14"/>
    <w:rsid w:val="006D3711"/>
    <w:rsid w:val="006E4EE0"/>
    <w:rsid w:val="006E6F17"/>
    <w:rsid w:val="006F6B4F"/>
    <w:rsid w:val="00702941"/>
    <w:rsid w:val="00753D17"/>
    <w:rsid w:val="00756189"/>
    <w:rsid w:val="00781EBC"/>
    <w:rsid w:val="007A4A9A"/>
    <w:rsid w:val="007A7BDC"/>
    <w:rsid w:val="00810846"/>
    <w:rsid w:val="00815484"/>
    <w:rsid w:val="00821413"/>
    <w:rsid w:val="008302C7"/>
    <w:rsid w:val="00847CA7"/>
    <w:rsid w:val="008639F1"/>
    <w:rsid w:val="00866B48"/>
    <w:rsid w:val="00885EFB"/>
    <w:rsid w:val="008944B4"/>
    <w:rsid w:val="008B4F91"/>
    <w:rsid w:val="008B6D2F"/>
    <w:rsid w:val="008D2919"/>
    <w:rsid w:val="0091218A"/>
    <w:rsid w:val="009520F3"/>
    <w:rsid w:val="00954523"/>
    <w:rsid w:val="0095495B"/>
    <w:rsid w:val="00955918"/>
    <w:rsid w:val="00963836"/>
    <w:rsid w:val="009A2711"/>
    <w:rsid w:val="009A3C6D"/>
    <w:rsid w:val="009B524E"/>
    <w:rsid w:val="009C220B"/>
    <w:rsid w:val="009C40CB"/>
    <w:rsid w:val="00A04572"/>
    <w:rsid w:val="00A238FC"/>
    <w:rsid w:val="00A2476C"/>
    <w:rsid w:val="00A64189"/>
    <w:rsid w:val="00A7577F"/>
    <w:rsid w:val="00A97309"/>
    <w:rsid w:val="00AA06AF"/>
    <w:rsid w:val="00AA40D5"/>
    <w:rsid w:val="00AE58D8"/>
    <w:rsid w:val="00B17578"/>
    <w:rsid w:val="00B34E04"/>
    <w:rsid w:val="00B55123"/>
    <w:rsid w:val="00B62381"/>
    <w:rsid w:val="00B62C30"/>
    <w:rsid w:val="00B810E9"/>
    <w:rsid w:val="00B86A6E"/>
    <w:rsid w:val="00B86B26"/>
    <w:rsid w:val="00B97688"/>
    <w:rsid w:val="00BA5095"/>
    <w:rsid w:val="00BE28AF"/>
    <w:rsid w:val="00BE58B1"/>
    <w:rsid w:val="00C354DD"/>
    <w:rsid w:val="00C61ECA"/>
    <w:rsid w:val="00C70E94"/>
    <w:rsid w:val="00C745AD"/>
    <w:rsid w:val="00C81243"/>
    <w:rsid w:val="00C97B1C"/>
    <w:rsid w:val="00CB7C65"/>
    <w:rsid w:val="00CE205A"/>
    <w:rsid w:val="00CE631A"/>
    <w:rsid w:val="00D1082E"/>
    <w:rsid w:val="00D515BA"/>
    <w:rsid w:val="00D53539"/>
    <w:rsid w:val="00DA2091"/>
    <w:rsid w:val="00DB1E18"/>
    <w:rsid w:val="00DB5230"/>
    <w:rsid w:val="00DF1A2B"/>
    <w:rsid w:val="00E10066"/>
    <w:rsid w:val="00E2218E"/>
    <w:rsid w:val="00E41B2F"/>
    <w:rsid w:val="00E779AA"/>
    <w:rsid w:val="00E83A05"/>
    <w:rsid w:val="00ED18F5"/>
    <w:rsid w:val="00EEA261"/>
    <w:rsid w:val="00EF2741"/>
    <w:rsid w:val="00F363CF"/>
    <w:rsid w:val="00F7041E"/>
    <w:rsid w:val="00FA41C7"/>
    <w:rsid w:val="00FB14E8"/>
    <w:rsid w:val="00FF6046"/>
    <w:rsid w:val="017267B9"/>
    <w:rsid w:val="0281636A"/>
    <w:rsid w:val="02CFB39B"/>
    <w:rsid w:val="02F6D946"/>
    <w:rsid w:val="03150CFE"/>
    <w:rsid w:val="0349A538"/>
    <w:rsid w:val="03501062"/>
    <w:rsid w:val="03FF3021"/>
    <w:rsid w:val="0426AB3B"/>
    <w:rsid w:val="048D4BE8"/>
    <w:rsid w:val="049C8227"/>
    <w:rsid w:val="050B60D0"/>
    <w:rsid w:val="052B1AE1"/>
    <w:rsid w:val="0542D84B"/>
    <w:rsid w:val="05D03454"/>
    <w:rsid w:val="05D83CA0"/>
    <w:rsid w:val="05F8F11F"/>
    <w:rsid w:val="060AB115"/>
    <w:rsid w:val="0611BF8F"/>
    <w:rsid w:val="063D7A38"/>
    <w:rsid w:val="071C0F93"/>
    <w:rsid w:val="0806606F"/>
    <w:rsid w:val="08686995"/>
    <w:rsid w:val="08A6BF8F"/>
    <w:rsid w:val="08B1FE52"/>
    <w:rsid w:val="08E58997"/>
    <w:rsid w:val="09538095"/>
    <w:rsid w:val="097A4CBD"/>
    <w:rsid w:val="09912627"/>
    <w:rsid w:val="0996BD34"/>
    <w:rsid w:val="09B3327B"/>
    <w:rsid w:val="09D01168"/>
    <w:rsid w:val="09E49C2C"/>
    <w:rsid w:val="09F71E6D"/>
    <w:rsid w:val="0A1CB91E"/>
    <w:rsid w:val="0AC30534"/>
    <w:rsid w:val="0AF0FCF1"/>
    <w:rsid w:val="0B19560B"/>
    <w:rsid w:val="0B2C8DF0"/>
    <w:rsid w:val="0B492A46"/>
    <w:rsid w:val="0C11ADF5"/>
    <w:rsid w:val="0C497AD3"/>
    <w:rsid w:val="0C5623D6"/>
    <w:rsid w:val="0CDBB2EA"/>
    <w:rsid w:val="0D125398"/>
    <w:rsid w:val="0D67679D"/>
    <w:rsid w:val="0DEC40FD"/>
    <w:rsid w:val="0DF251C1"/>
    <w:rsid w:val="0E28A8C6"/>
    <w:rsid w:val="0E8BCD36"/>
    <w:rsid w:val="0EEDE346"/>
    <w:rsid w:val="0F2E3DAB"/>
    <w:rsid w:val="0FE08DF4"/>
    <w:rsid w:val="104A21C0"/>
    <w:rsid w:val="106D9AE7"/>
    <w:rsid w:val="10B65A12"/>
    <w:rsid w:val="10F07A02"/>
    <w:rsid w:val="118AA8F2"/>
    <w:rsid w:val="119B06DE"/>
    <w:rsid w:val="11B6F85B"/>
    <w:rsid w:val="11CA58AA"/>
    <w:rsid w:val="11E02836"/>
    <w:rsid w:val="11E76560"/>
    <w:rsid w:val="1225D343"/>
    <w:rsid w:val="124BE81E"/>
    <w:rsid w:val="12507840"/>
    <w:rsid w:val="12D47B2D"/>
    <w:rsid w:val="13544B9E"/>
    <w:rsid w:val="137A1BBA"/>
    <w:rsid w:val="13F5BE55"/>
    <w:rsid w:val="1430262E"/>
    <w:rsid w:val="1454B309"/>
    <w:rsid w:val="145593FA"/>
    <w:rsid w:val="14E9777C"/>
    <w:rsid w:val="14EF8EFF"/>
    <w:rsid w:val="150D8576"/>
    <w:rsid w:val="15389644"/>
    <w:rsid w:val="15401E32"/>
    <w:rsid w:val="15B3126B"/>
    <w:rsid w:val="16030ADE"/>
    <w:rsid w:val="16B7EE1B"/>
    <w:rsid w:val="16BFD5F6"/>
    <w:rsid w:val="16D0EC0A"/>
    <w:rsid w:val="17878BF9"/>
    <w:rsid w:val="17930419"/>
    <w:rsid w:val="17960076"/>
    <w:rsid w:val="181B68FE"/>
    <w:rsid w:val="185437C3"/>
    <w:rsid w:val="186712A6"/>
    <w:rsid w:val="186ADB5B"/>
    <w:rsid w:val="1882BD23"/>
    <w:rsid w:val="18A64E38"/>
    <w:rsid w:val="18D9C100"/>
    <w:rsid w:val="193A6116"/>
    <w:rsid w:val="1958BEC0"/>
    <w:rsid w:val="1983F2D3"/>
    <w:rsid w:val="19957F27"/>
    <w:rsid w:val="1A1A3A42"/>
    <w:rsid w:val="1ACC10FA"/>
    <w:rsid w:val="1ADFAE5C"/>
    <w:rsid w:val="1AE6286E"/>
    <w:rsid w:val="1AE688AF"/>
    <w:rsid w:val="1AE75623"/>
    <w:rsid w:val="1B0C5D4E"/>
    <w:rsid w:val="1B2F3080"/>
    <w:rsid w:val="1B3B11FD"/>
    <w:rsid w:val="1B49BD64"/>
    <w:rsid w:val="1BA6455B"/>
    <w:rsid w:val="1C2DCFDA"/>
    <w:rsid w:val="1C4008D1"/>
    <w:rsid w:val="1C56D46A"/>
    <w:rsid w:val="1C69A760"/>
    <w:rsid w:val="1C837493"/>
    <w:rsid w:val="1CACAA66"/>
    <w:rsid w:val="1CB1AF6C"/>
    <w:rsid w:val="1DD0C03E"/>
    <w:rsid w:val="1DFD25E6"/>
    <w:rsid w:val="1E41E257"/>
    <w:rsid w:val="1F244C48"/>
    <w:rsid w:val="1FC6F4A3"/>
    <w:rsid w:val="1FD87874"/>
    <w:rsid w:val="1FDA902B"/>
    <w:rsid w:val="1FE46FFE"/>
    <w:rsid w:val="204E3CA0"/>
    <w:rsid w:val="20CE5DE3"/>
    <w:rsid w:val="21272353"/>
    <w:rsid w:val="21276D59"/>
    <w:rsid w:val="215263BE"/>
    <w:rsid w:val="21578CDE"/>
    <w:rsid w:val="216BC8AA"/>
    <w:rsid w:val="21B16908"/>
    <w:rsid w:val="21C0C7ED"/>
    <w:rsid w:val="2222460B"/>
    <w:rsid w:val="22252E3F"/>
    <w:rsid w:val="22271C78"/>
    <w:rsid w:val="22633CDC"/>
    <w:rsid w:val="2290742F"/>
    <w:rsid w:val="2314CE87"/>
    <w:rsid w:val="23620989"/>
    <w:rsid w:val="2464A13B"/>
    <w:rsid w:val="2489134B"/>
    <w:rsid w:val="24FD865C"/>
    <w:rsid w:val="252EA787"/>
    <w:rsid w:val="25F694A9"/>
    <w:rsid w:val="264A2CB2"/>
    <w:rsid w:val="26F1208C"/>
    <w:rsid w:val="2701E8CA"/>
    <w:rsid w:val="27D85A3F"/>
    <w:rsid w:val="28109EC7"/>
    <w:rsid w:val="28AE0CA4"/>
    <w:rsid w:val="28D7B5C6"/>
    <w:rsid w:val="298ACD07"/>
    <w:rsid w:val="29B0B5F6"/>
    <w:rsid w:val="29DC1213"/>
    <w:rsid w:val="2A2331F2"/>
    <w:rsid w:val="2A3ABF74"/>
    <w:rsid w:val="2A732443"/>
    <w:rsid w:val="2AFDBA37"/>
    <w:rsid w:val="2B9ABECD"/>
    <w:rsid w:val="2BAA8803"/>
    <w:rsid w:val="2BEB7B42"/>
    <w:rsid w:val="2C99246A"/>
    <w:rsid w:val="2D717EC5"/>
    <w:rsid w:val="2D774E50"/>
    <w:rsid w:val="2D96F5E6"/>
    <w:rsid w:val="2DEA44BB"/>
    <w:rsid w:val="2E05C5F1"/>
    <w:rsid w:val="2E1A47F3"/>
    <w:rsid w:val="2E3587A2"/>
    <w:rsid w:val="2E6AE1AF"/>
    <w:rsid w:val="2E71B39D"/>
    <w:rsid w:val="2E8AA972"/>
    <w:rsid w:val="2E920504"/>
    <w:rsid w:val="2ED173CC"/>
    <w:rsid w:val="2F099DA2"/>
    <w:rsid w:val="2F553051"/>
    <w:rsid w:val="2F79D8F1"/>
    <w:rsid w:val="2FBA82EA"/>
    <w:rsid w:val="2FCB184F"/>
    <w:rsid w:val="2FDE54F2"/>
    <w:rsid w:val="3083B594"/>
    <w:rsid w:val="30D3BA4B"/>
    <w:rsid w:val="31A981A6"/>
    <w:rsid w:val="3209B678"/>
    <w:rsid w:val="3268CE8C"/>
    <w:rsid w:val="3287CD3D"/>
    <w:rsid w:val="32EA0546"/>
    <w:rsid w:val="3354A10E"/>
    <w:rsid w:val="337F2EF1"/>
    <w:rsid w:val="33AC80D3"/>
    <w:rsid w:val="33F56772"/>
    <w:rsid w:val="33F6A04B"/>
    <w:rsid w:val="33F78890"/>
    <w:rsid w:val="346D6B17"/>
    <w:rsid w:val="353D8750"/>
    <w:rsid w:val="354F5BE3"/>
    <w:rsid w:val="354F64A0"/>
    <w:rsid w:val="35753644"/>
    <w:rsid w:val="358C0487"/>
    <w:rsid w:val="35BCD48A"/>
    <w:rsid w:val="35F38978"/>
    <w:rsid w:val="3602F9A3"/>
    <w:rsid w:val="3612F26F"/>
    <w:rsid w:val="364F1356"/>
    <w:rsid w:val="370CC217"/>
    <w:rsid w:val="373B1D0F"/>
    <w:rsid w:val="375E8F97"/>
    <w:rsid w:val="385CF4BF"/>
    <w:rsid w:val="3879C7F1"/>
    <w:rsid w:val="38BA4981"/>
    <w:rsid w:val="38EC71E7"/>
    <w:rsid w:val="39168760"/>
    <w:rsid w:val="397E69B6"/>
    <w:rsid w:val="3A242425"/>
    <w:rsid w:val="3A941AFE"/>
    <w:rsid w:val="3A95D36A"/>
    <w:rsid w:val="3B125B0E"/>
    <w:rsid w:val="3BCCDFCE"/>
    <w:rsid w:val="3BCE92E9"/>
    <w:rsid w:val="3BF5E5C9"/>
    <w:rsid w:val="3C02D682"/>
    <w:rsid w:val="3CADB1C7"/>
    <w:rsid w:val="3CC38684"/>
    <w:rsid w:val="3CD30744"/>
    <w:rsid w:val="3CE5FEEC"/>
    <w:rsid w:val="3D02227D"/>
    <w:rsid w:val="3D25F7D1"/>
    <w:rsid w:val="3D7EB07C"/>
    <w:rsid w:val="3DD46A08"/>
    <w:rsid w:val="3DF60134"/>
    <w:rsid w:val="3E266A05"/>
    <w:rsid w:val="3E323539"/>
    <w:rsid w:val="3E739F81"/>
    <w:rsid w:val="3EC327EC"/>
    <w:rsid w:val="3F1ED700"/>
    <w:rsid w:val="3F27FFBF"/>
    <w:rsid w:val="3F5E6D45"/>
    <w:rsid w:val="3FFD1C8E"/>
    <w:rsid w:val="4094A63C"/>
    <w:rsid w:val="40F1DDFE"/>
    <w:rsid w:val="411EBC9F"/>
    <w:rsid w:val="41A4F9FD"/>
    <w:rsid w:val="41BBAD9F"/>
    <w:rsid w:val="41BD5450"/>
    <w:rsid w:val="41DF01F7"/>
    <w:rsid w:val="42037F34"/>
    <w:rsid w:val="42413F9B"/>
    <w:rsid w:val="4246D853"/>
    <w:rsid w:val="426E5C8B"/>
    <w:rsid w:val="42ABD335"/>
    <w:rsid w:val="4307C35B"/>
    <w:rsid w:val="4343AEBB"/>
    <w:rsid w:val="43463981"/>
    <w:rsid w:val="43C48894"/>
    <w:rsid w:val="43CB7DAD"/>
    <w:rsid w:val="43F8F583"/>
    <w:rsid w:val="4417B319"/>
    <w:rsid w:val="448F4C85"/>
    <w:rsid w:val="449202B8"/>
    <w:rsid w:val="45213B76"/>
    <w:rsid w:val="453CFCF1"/>
    <w:rsid w:val="455E7D4E"/>
    <w:rsid w:val="45F8241E"/>
    <w:rsid w:val="4608B1CF"/>
    <w:rsid w:val="4633E90E"/>
    <w:rsid w:val="464CB9A8"/>
    <w:rsid w:val="46832510"/>
    <w:rsid w:val="469612A4"/>
    <w:rsid w:val="46A28353"/>
    <w:rsid w:val="46C2306D"/>
    <w:rsid w:val="46E84190"/>
    <w:rsid w:val="471353BF"/>
    <w:rsid w:val="48341E31"/>
    <w:rsid w:val="4840B33E"/>
    <w:rsid w:val="48CE2711"/>
    <w:rsid w:val="49A0FDE1"/>
    <w:rsid w:val="49B1617D"/>
    <w:rsid w:val="49E5AD7D"/>
    <w:rsid w:val="4A8CAF02"/>
    <w:rsid w:val="4ABB2707"/>
    <w:rsid w:val="4AC9631F"/>
    <w:rsid w:val="4AEAA65E"/>
    <w:rsid w:val="4B06313C"/>
    <w:rsid w:val="4B750332"/>
    <w:rsid w:val="4C4D97A2"/>
    <w:rsid w:val="4D113887"/>
    <w:rsid w:val="4DBA12D8"/>
    <w:rsid w:val="4E3D8A69"/>
    <w:rsid w:val="4E48B5F1"/>
    <w:rsid w:val="4EB3387F"/>
    <w:rsid w:val="512FA4F5"/>
    <w:rsid w:val="516101E9"/>
    <w:rsid w:val="519C247E"/>
    <w:rsid w:val="51E4DE14"/>
    <w:rsid w:val="5296B8C3"/>
    <w:rsid w:val="52FF1AB0"/>
    <w:rsid w:val="5303065F"/>
    <w:rsid w:val="533CE278"/>
    <w:rsid w:val="53FC7B19"/>
    <w:rsid w:val="5438CC1D"/>
    <w:rsid w:val="546D27AC"/>
    <w:rsid w:val="548655F6"/>
    <w:rsid w:val="54D30F7C"/>
    <w:rsid w:val="5537C6CB"/>
    <w:rsid w:val="5570D27F"/>
    <w:rsid w:val="55970E98"/>
    <w:rsid w:val="567DDFF3"/>
    <w:rsid w:val="568A557B"/>
    <w:rsid w:val="56B04F57"/>
    <w:rsid w:val="56E25107"/>
    <w:rsid w:val="5716972C"/>
    <w:rsid w:val="5741333F"/>
    <w:rsid w:val="575F8711"/>
    <w:rsid w:val="57881314"/>
    <w:rsid w:val="57A7C4B7"/>
    <w:rsid w:val="57C2A8B1"/>
    <w:rsid w:val="57EB3E84"/>
    <w:rsid w:val="582AC438"/>
    <w:rsid w:val="584B5CFC"/>
    <w:rsid w:val="5866BDF4"/>
    <w:rsid w:val="59426697"/>
    <w:rsid w:val="5A19E1C0"/>
    <w:rsid w:val="5A2A4B39"/>
    <w:rsid w:val="5ABE853A"/>
    <w:rsid w:val="5AE81179"/>
    <w:rsid w:val="5B38C64E"/>
    <w:rsid w:val="5B8142AF"/>
    <w:rsid w:val="5BBD42CD"/>
    <w:rsid w:val="5D7A3926"/>
    <w:rsid w:val="5DE03C01"/>
    <w:rsid w:val="5DE80FF0"/>
    <w:rsid w:val="5E6D9E6B"/>
    <w:rsid w:val="5EE54AED"/>
    <w:rsid w:val="5EEE7CA7"/>
    <w:rsid w:val="5F061157"/>
    <w:rsid w:val="5F8A0A09"/>
    <w:rsid w:val="5F96CD31"/>
    <w:rsid w:val="5FB8C56B"/>
    <w:rsid w:val="5FDBDD2E"/>
    <w:rsid w:val="600AF9E6"/>
    <w:rsid w:val="60468FAE"/>
    <w:rsid w:val="610BCED4"/>
    <w:rsid w:val="613CE4AB"/>
    <w:rsid w:val="615992CA"/>
    <w:rsid w:val="61655D1F"/>
    <w:rsid w:val="616F8659"/>
    <w:rsid w:val="628D40FC"/>
    <w:rsid w:val="62A3DB4F"/>
    <w:rsid w:val="63248455"/>
    <w:rsid w:val="6355C9A6"/>
    <w:rsid w:val="63DC25DD"/>
    <w:rsid w:val="64007ADA"/>
    <w:rsid w:val="64C0162B"/>
    <w:rsid w:val="64E8E88B"/>
    <w:rsid w:val="659DE197"/>
    <w:rsid w:val="666F7800"/>
    <w:rsid w:val="66A4E0AD"/>
    <w:rsid w:val="670D67E7"/>
    <w:rsid w:val="6762FD76"/>
    <w:rsid w:val="67ADFA50"/>
    <w:rsid w:val="67AF257D"/>
    <w:rsid w:val="67D2BEA5"/>
    <w:rsid w:val="67D4E122"/>
    <w:rsid w:val="683D4084"/>
    <w:rsid w:val="68C49363"/>
    <w:rsid w:val="69047DD6"/>
    <w:rsid w:val="69102693"/>
    <w:rsid w:val="69346C48"/>
    <w:rsid w:val="697EADD9"/>
    <w:rsid w:val="69978B94"/>
    <w:rsid w:val="6A2F00AE"/>
    <w:rsid w:val="6AE38BA0"/>
    <w:rsid w:val="6AFC526E"/>
    <w:rsid w:val="6AFD95C2"/>
    <w:rsid w:val="6B24D60B"/>
    <w:rsid w:val="6B31C314"/>
    <w:rsid w:val="6B457943"/>
    <w:rsid w:val="6B69EDB0"/>
    <w:rsid w:val="6BA5C45C"/>
    <w:rsid w:val="6BA9DB8D"/>
    <w:rsid w:val="6C3F97B4"/>
    <w:rsid w:val="6C51592B"/>
    <w:rsid w:val="6C8C3625"/>
    <w:rsid w:val="6CD3A3FB"/>
    <w:rsid w:val="6D51F00A"/>
    <w:rsid w:val="6D5F5FC7"/>
    <w:rsid w:val="6D61D275"/>
    <w:rsid w:val="6D70A120"/>
    <w:rsid w:val="6D9184C6"/>
    <w:rsid w:val="6DA0671E"/>
    <w:rsid w:val="6DC23030"/>
    <w:rsid w:val="6E0D8330"/>
    <w:rsid w:val="6E2A982F"/>
    <w:rsid w:val="6E43F976"/>
    <w:rsid w:val="6F16FBD4"/>
    <w:rsid w:val="6F57FC3D"/>
    <w:rsid w:val="6FEC6867"/>
    <w:rsid w:val="70788959"/>
    <w:rsid w:val="7100F4CC"/>
    <w:rsid w:val="710FE65D"/>
    <w:rsid w:val="7267B91D"/>
    <w:rsid w:val="727C8901"/>
    <w:rsid w:val="7281E12F"/>
    <w:rsid w:val="728E1657"/>
    <w:rsid w:val="72B1D2AB"/>
    <w:rsid w:val="72D97980"/>
    <w:rsid w:val="737AE12E"/>
    <w:rsid w:val="73DEB9FF"/>
    <w:rsid w:val="7402C43D"/>
    <w:rsid w:val="7410D6AD"/>
    <w:rsid w:val="74170C32"/>
    <w:rsid w:val="749223CE"/>
    <w:rsid w:val="74B34C16"/>
    <w:rsid w:val="74C40512"/>
    <w:rsid w:val="74CC0ECC"/>
    <w:rsid w:val="7590E5FC"/>
    <w:rsid w:val="75975B05"/>
    <w:rsid w:val="75C5D93A"/>
    <w:rsid w:val="76282823"/>
    <w:rsid w:val="76F16429"/>
    <w:rsid w:val="770B4B67"/>
    <w:rsid w:val="776233FA"/>
    <w:rsid w:val="77E57753"/>
    <w:rsid w:val="77F5FCBA"/>
    <w:rsid w:val="77FB3E5D"/>
    <w:rsid w:val="78695FAB"/>
    <w:rsid w:val="7916F5D5"/>
    <w:rsid w:val="7919C852"/>
    <w:rsid w:val="797682CA"/>
    <w:rsid w:val="79B5A4B6"/>
    <w:rsid w:val="79C4E9E6"/>
    <w:rsid w:val="79FFCED9"/>
    <w:rsid w:val="7A2529E0"/>
    <w:rsid w:val="7AA70506"/>
    <w:rsid w:val="7AF763BA"/>
    <w:rsid w:val="7B2B5950"/>
    <w:rsid w:val="7B369711"/>
    <w:rsid w:val="7B3FC2C2"/>
    <w:rsid w:val="7B4DA974"/>
    <w:rsid w:val="7B4FB0A4"/>
    <w:rsid w:val="7BB3AFE2"/>
    <w:rsid w:val="7BD68B31"/>
    <w:rsid w:val="7C09BB5F"/>
    <w:rsid w:val="7D294FD1"/>
    <w:rsid w:val="7D688B63"/>
    <w:rsid w:val="7D7B14EB"/>
    <w:rsid w:val="7DABFBB7"/>
    <w:rsid w:val="7DFADB6E"/>
    <w:rsid w:val="7E944CA1"/>
    <w:rsid w:val="7EF4B60C"/>
    <w:rsid w:val="7F10E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892DF9"/>
  <w15:docId w15:val="{89D2D8E5-7157-4F52-906D-8F269E1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D8"/>
  </w:style>
  <w:style w:type="paragraph" w:styleId="Heading1">
    <w:name w:val="heading 1"/>
    <w:basedOn w:val="Normal"/>
    <w:next w:val="Normal"/>
    <w:link w:val="Heading1Char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65"/>
  </w:style>
  <w:style w:type="paragraph" w:styleId="Footer">
    <w:name w:val="footer"/>
    <w:basedOn w:val="Normal"/>
    <w:link w:val="FooterChar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65"/>
  </w:style>
  <w:style w:type="paragraph" w:styleId="BalloonText">
    <w:name w:val="Balloon Text"/>
    <w:basedOn w:val="Normal"/>
    <w:link w:val="BalloonTextChar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5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5A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4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0C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52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975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353">
          <w:marLeft w:val="36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mailto:nyemetoder@helse-soros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CA044501-1F54-4278-9055-AB3EB5DE8AAF}"/>
</file>

<file path=customXml/itemProps2.xml><?xml version="1.0" encoding="utf-8"?>
<ds:datastoreItem xmlns:ds="http://schemas.openxmlformats.org/officeDocument/2006/customXml" ds:itemID="{AA358C23-B55C-4406-9F54-0BF92E8F5F15}"/>
</file>

<file path=customXml/itemProps3.xml><?xml version="1.0" encoding="utf-8"?>
<ds:datastoreItem xmlns:ds="http://schemas.openxmlformats.org/officeDocument/2006/customXml" ds:itemID="{337620BF-17D6-4000-AEE7-805D3CC1369B}"/>
</file>

<file path=customXml/itemProps4.xml><?xml version="1.0" encoding="utf-8"?>
<ds:datastoreItem xmlns:ds="http://schemas.openxmlformats.org/officeDocument/2006/customXml" ds:itemID="{530CA836-4DD5-4F75-AD1B-C731E6F3A03C}"/>
</file>

<file path=customXml/itemProps5.xml><?xml version="1.0" encoding="utf-8"?>
<ds:datastoreItem xmlns:ds="http://schemas.openxmlformats.org/officeDocument/2006/customXml" ds:itemID="{7CD3BEFB-3584-4204-BAE2-D950C24883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1657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Skilhagen Thormodsen</dc:creator>
  <cp:keywords/>
  <cp:lastModifiedBy>Nguyen, Sylvi</cp:lastModifiedBy>
  <cp:revision>33</cp:revision>
  <cp:lastPrinted>2019-11-28T11:53:00Z</cp:lastPrinted>
  <dcterms:created xsi:type="dcterms:W3CDTF">2020-10-06T11:07:00Z</dcterms:created>
  <dcterms:modified xsi:type="dcterms:W3CDTF">2020-10-14T13:08:00Z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  <property fmtid="{D5CDD505-2E9C-101B-9397-08002B2CF9AE}" pid="3" name="docIndexRef">
    <vt:lpwstr>9995a36f-83d1-432a-9dfd-28e71b1114e6</vt:lpwstr>
  </property>
  <property fmtid="{D5CDD505-2E9C-101B-9397-08002B2CF9AE}" pid="4" name="bjSaver">
    <vt:lpwstr>qTipk0OU1g+Phm/s8mflQmsWnkpRQMVY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6" name="bjDocumentLabelXML-0">
    <vt:lpwstr>ames.com/2008/01/sie/internal/label"&gt;&lt;element uid="9920fcc9-9f43-4d43-9e3e-b98a219cfd55" value="" /&gt;&lt;/sisl&gt;</vt:lpwstr>
  </property>
  <property fmtid="{D5CDD505-2E9C-101B-9397-08002B2CF9AE}" pid="7" name="bjDocumentSecurityLabel">
    <vt:lpwstr>Not Classified</vt:lpwstr>
  </property>
  <property fmtid="{D5CDD505-2E9C-101B-9397-08002B2CF9AE}" pid="8" name="_AdHocReviewCycleID">
    <vt:i4>2109123430</vt:i4>
  </property>
  <property fmtid="{D5CDD505-2E9C-101B-9397-08002B2CF9AE}" pid="9" name="_NewReviewCycle">
    <vt:lpwstr/>
  </property>
  <property fmtid="{D5CDD505-2E9C-101B-9397-08002B2CF9AE}" pid="10" name="_EmailSubject">
    <vt:lpwstr>Innspill ID2020_082 ID2020_078</vt:lpwstr>
  </property>
  <property fmtid="{D5CDD505-2E9C-101B-9397-08002B2CF9AE}" pid="11" name="_AuthorEmail">
    <vt:lpwstr>phillip.kittel@merck.com</vt:lpwstr>
  </property>
  <property fmtid="{D5CDD505-2E9C-101B-9397-08002B2CF9AE}" pid="12" name="_AuthorEmailDisplayName">
    <vt:lpwstr>Kittel, Phillip Alexander Eduard Santos</vt:lpwstr>
  </property>
</Properties>
</file>