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EC1E" w14:textId="77777777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Heading1Char"/>
          <w:rFonts w:eastAsia="Calibri"/>
          <w:color w:val="auto"/>
        </w:rPr>
        <w:t xml:space="preserve">Nye metoder: </w:t>
      </w:r>
      <w:proofErr w:type="spellStart"/>
      <w:r>
        <w:rPr>
          <w:rStyle w:val="Heading1Char"/>
          <w:rFonts w:eastAsia="Calibri"/>
          <w:color w:val="auto"/>
        </w:rPr>
        <w:t>Innspill</w:t>
      </w:r>
      <w:proofErr w:type="spellEnd"/>
      <w:r>
        <w:rPr>
          <w:rStyle w:val="Heading1Char"/>
          <w:rFonts w:eastAsia="Calibri"/>
          <w:color w:val="auto"/>
        </w:rPr>
        <w:t xml:space="preserve"> </w:t>
      </w:r>
      <w:proofErr w:type="spellStart"/>
      <w:r>
        <w:rPr>
          <w:rStyle w:val="Heading1Char"/>
          <w:rFonts w:eastAsia="Calibri"/>
          <w:color w:val="auto"/>
        </w:rPr>
        <w:t>til</w:t>
      </w:r>
      <w:proofErr w:type="spellEnd"/>
      <w:r w:rsidR="003E11D8" w:rsidRPr="00815484">
        <w:rPr>
          <w:rStyle w:val="Heading1Char"/>
          <w:rFonts w:eastAsia="Calibri"/>
          <w:color w:val="auto"/>
        </w:rPr>
        <w:t xml:space="preserve"> </w:t>
      </w:r>
      <w:r w:rsidR="002E4930">
        <w:rPr>
          <w:rStyle w:val="Heading1Char"/>
          <w:rFonts w:eastAsia="Calibri"/>
          <w:color w:val="auto"/>
        </w:rPr>
        <w:t>metoder (</w:t>
      </w:r>
      <w:r w:rsidR="003E11D8" w:rsidRPr="00681ECD">
        <w:rPr>
          <w:rStyle w:val="Heading1Char"/>
          <w:rFonts w:ascii="Calibri" w:eastAsia="Calibri" w:hAnsi="Calibri"/>
          <w:color w:val="auto"/>
        </w:rPr>
        <w:t>forslag</w:t>
      </w:r>
      <w:r w:rsidR="003E11D8" w:rsidRPr="00815484">
        <w:rPr>
          <w:rStyle w:val="Heading1Char"/>
          <w:rFonts w:eastAsia="Calibri"/>
          <w:color w:val="auto"/>
        </w:rPr>
        <w:t>/metodevarsler</w:t>
      </w:r>
      <w:r w:rsidR="002E4930">
        <w:rPr>
          <w:rStyle w:val="Heading1Char"/>
          <w:rFonts w:eastAsia="Calibri"/>
          <w:color w:val="auto"/>
        </w:rPr>
        <w:t>/</w:t>
      </w:r>
      <w:proofErr w:type="spellStart"/>
      <w:r w:rsidR="002E4930">
        <w:rPr>
          <w:rStyle w:val="Heading1Char"/>
          <w:rFonts w:eastAsia="Calibri"/>
          <w:color w:val="auto"/>
        </w:rPr>
        <w:t>oppdrag</w:t>
      </w:r>
      <w:proofErr w:type="spellEnd"/>
      <w:r w:rsidR="002E4930">
        <w:rPr>
          <w:rStyle w:val="Heading1Char"/>
          <w:rFonts w:eastAsia="Calibri"/>
          <w:color w:val="auto"/>
        </w:rPr>
        <w:t>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proofErr w:type="spellStart"/>
      <w:r w:rsidR="003E11D8">
        <w:rPr>
          <w:rFonts w:cs="Arial"/>
        </w:rPr>
        <w:t>Alle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har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anledning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til</w:t>
      </w:r>
      <w:proofErr w:type="spellEnd"/>
      <w:r w:rsidR="003E11D8">
        <w:rPr>
          <w:rFonts w:cs="Arial"/>
        </w:rPr>
        <w:t xml:space="preserve"> å </w:t>
      </w:r>
      <w:proofErr w:type="spellStart"/>
      <w:r w:rsidR="003E11D8">
        <w:rPr>
          <w:rFonts w:cs="Arial"/>
        </w:rPr>
        <w:t>komme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med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tilleggsopplysninger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til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en</w:t>
      </w:r>
      <w:proofErr w:type="spellEnd"/>
      <w:r w:rsidR="003E11D8">
        <w:rPr>
          <w:rFonts w:cs="Arial"/>
        </w:rPr>
        <w:t xml:space="preserve"> metode </w:t>
      </w:r>
      <w:proofErr w:type="spellStart"/>
      <w:r w:rsidR="003E11D8">
        <w:rPr>
          <w:rFonts w:cs="Arial"/>
        </w:rPr>
        <w:t>som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er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foreslått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for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nasjonal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metodevurdering</w:t>
      </w:r>
      <w:proofErr w:type="spellEnd"/>
      <w:r w:rsidR="004C5BF6">
        <w:rPr>
          <w:rFonts w:cs="Arial"/>
        </w:rPr>
        <w:t xml:space="preserve">. </w:t>
      </w:r>
      <w:proofErr w:type="spellStart"/>
      <w:r w:rsidR="004C5BF6">
        <w:rPr>
          <w:rFonts w:cs="Arial"/>
        </w:rPr>
        <w:t>Det</w:t>
      </w:r>
      <w:proofErr w:type="spellEnd"/>
      <w:r w:rsidR="004C5BF6">
        <w:rPr>
          <w:rFonts w:cs="Arial"/>
        </w:rPr>
        <w:t xml:space="preserve"> </w:t>
      </w:r>
      <w:proofErr w:type="spellStart"/>
      <w:r w:rsidR="004C5BF6">
        <w:rPr>
          <w:rFonts w:cs="Arial"/>
        </w:rPr>
        <w:t>er</w:t>
      </w:r>
      <w:proofErr w:type="spellEnd"/>
      <w:r w:rsidR="004C5BF6">
        <w:rPr>
          <w:rFonts w:cs="Arial"/>
        </w:rPr>
        <w:t xml:space="preserve"> </w:t>
      </w:r>
      <w:proofErr w:type="spellStart"/>
      <w:r w:rsidR="004C5BF6">
        <w:rPr>
          <w:rFonts w:cs="Arial"/>
        </w:rPr>
        <w:t>ønskelig</w:t>
      </w:r>
      <w:proofErr w:type="spellEnd"/>
      <w:r w:rsidR="004C5BF6">
        <w:rPr>
          <w:rFonts w:cs="Arial"/>
        </w:rPr>
        <w:t xml:space="preserve"> at </w:t>
      </w:r>
      <w:proofErr w:type="spellStart"/>
      <w:r w:rsidR="004C5BF6">
        <w:rPr>
          <w:rFonts w:cs="Arial"/>
        </w:rPr>
        <w:t>innspill</w:t>
      </w:r>
      <w:proofErr w:type="spellEnd"/>
      <w:r w:rsidR="004C5BF6">
        <w:rPr>
          <w:rFonts w:cs="Arial"/>
        </w:rPr>
        <w:t xml:space="preserve"> </w:t>
      </w:r>
      <w:proofErr w:type="spellStart"/>
      <w:r w:rsidR="004C5BF6">
        <w:rPr>
          <w:rFonts w:cs="Arial"/>
        </w:rPr>
        <w:t>kommer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inn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så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tidlig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som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mulig</w:t>
      </w:r>
      <w:proofErr w:type="spellEnd"/>
      <w:r w:rsidR="00643E8D">
        <w:rPr>
          <w:rFonts w:cs="Arial"/>
        </w:rPr>
        <w:t xml:space="preserve"> i </w:t>
      </w:r>
      <w:proofErr w:type="spellStart"/>
      <w:r w:rsidR="00643E8D">
        <w:rPr>
          <w:rFonts w:cs="Arial"/>
        </w:rPr>
        <w:t>pros</w:t>
      </w:r>
      <w:r w:rsidR="004C5BF6">
        <w:rPr>
          <w:rFonts w:cs="Arial"/>
        </w:rPr>
        <w:t>esse</w:t>
      </w:r>
      <w:r w:rsidR="00643E8D">
        <w:rPr>
          <w:rFonts w:cs="Arial"/>
        </w:rPr>
        <w:t>n</w:t>
      </w:r>
      <w:proofErr w:type="spellEnd"/>
      <w:r w:rsidR="00643E8D">
        <w:rPr>
          <w:rFonts w:cs="Arial"/>
        </w:rPr>
        <w:t>,</w:t>
      </w:r>
      <w:r w:rsidR="004C5BF6">
        <w:rPr>
          <w:rFonts w:cs="Arial"/>
        </w:rPr>
        <w:t xml:space="preserve"> </w:t>
      </w:r>
      <w:proofErr w:type="spellStart"/>
      <w:r w:rsidR="004C5BF6">
        <w:rPr>
          <w:rFonts w:cs="Arial"/>
        </w:rPr>
        <w:t>fortrinnsvis</w:t>
      </w:r>
      <w:proofErr w:type="spellEnd"/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før</w:t>
      </w:r>
      <w:proofErr w:type="spellEnd"/>
      <w:r w:rsidR="004B303D">
        <w:rPr>
          <w:rFonts w:cs="Arial"/>
        </w:rPr>
        <w:t xml:space="preserve"> </w:t>
      </w:r>
      <w:proofErr w:type="spellStart"/>
      <w:r w:rsidR="003E11D8">
        <w:rPr>
          <w:rFonts w:cs="Arial"/>
        </w:rPr>
        <w:t>behand</w:t>
      </w:r>
      <w:r w:rsidR="004C5BF6">
        <w:rPr>
          <w:rFonts w:cs="Arial"/>
        </w:rPr>
        <w:t>ling</w:t>
      </w:r>
      <w:proofErr w:type="spellEnd"/>
      <w:r w:rsidR="004C5BF6">
        <w:rPr>
          <w:rFonts w:cs="Arial"/>
        </w:rPr>
        <w:t xml:space="preserve"> i</w:t>
      </w:r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Bestillerforum</w:t>
      </w:r>
      <w:proofErr w:type="spellEnd"/>
      <w:r w:rsidR="003E11D8">
        <w:rPr>
          <w:rFonts w:cs="Arial"/>
        </w:rPr>
        <w:t xml:space="preserve"> RHF. </w:t>
      </w:r>
    </w:p>
    <w:p w14:paraId="72A1066C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26806109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Bruk </w:t>
      </w:r>
      <w:proofErr w:type="spellStart"/>
      <w:r>
        <w:rPr>
          <w:rFonts w:cs="Arial"/>
        </w:rPr>
        <w:t>dette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skjema</w:t>
      </w:r>
      <w:r w:rsidR="004B303D">
        <w:rPr>
          <w:rFonts w:cs="Arial"/>
        </w:rPr>
        <w:t>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</w:t>
      </w:r>
      <w:proofErr w:type="spellEnd"/>
      <w:r>
        <w:rPr>
          <w:rFonts w:cs="Arial"/>
        </w:rPr>
        <w:t xml:space="preserve"> å gi </w:t>
      </w:r>
      <w:proofErr w:type="spellStart"/>
      <w:r>
        <w:rPr>
          <w:rFonts w:cs="Arial"/>
        </w:rPr>
        <w:t>innspill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til</w:t>
      </w:r>
      <w:proofErr w:type="spellEnd"/>
      <w:r>
        <w:rPr>
          <w:rFonts w:cs="Arial"/>
        </w:rPr>
        <w:t xml:space="preserve">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</w:t>
      </w:r>
      <w:proofErr w:type="spellStart"/>
      <w:r w:rsidR="002879D8">
        <w:rPr>
          <w:rFonts w:cs="Arial"/>
        </w:rPr>
        <w:t>og</w:t>
      </w:r>
      <w:proofErr w:type="spellEnd"/>
      <w:r w:rsidR="002879D8">
        <w:rPr>
          <w:rFonts w:cs="Arial"/>
        </w:rPr>
        <w:t xml:space="preserve"> </w:t>
      </w:r>
      <w:proofErr w:type="spellStart"/>
      <w:r w:rsidR="002879D8">
        <w:rPr>
          <w:rFonts w:cs="Arial"/>
        </w:rPr>
        <w:t>oppdrag</w:t>
      </w:r>
      <w:proofErr w:type="spellEnd"/>
      <w:r w:rsidR="004C5BF6">
        <w:rPr>
          <w:rFonts w:cs="Arial"/>
        </w:rPr>
        <w:t xml:space="preserve">. </w:t>
      </w:r>
      <w:proofErr w:type="spellStart"/>
      <w:r w:rsidR="00643E8D">
        <w:rPr>
          <w:rFonts w:cs="Arial"/>
        </w:rPr>
        <w:t>På</w:t>
      </w:r>
      <w:proofErr w:type="spellEnd"/>
      <w:r w:rsidR="00643E8D">
        <w:rPr>
          <w:rFonts w:cs="Arial"/>
        </w:rPr>
        <w:t xml:space="preserve"> nyemetoder.no </w:t>
      </w:r>
      <w:proofErr w:type="spellStart"/>
      <w:r w:rsidR="00643E8D">
        <w:rPr>
          <w:rFonts w:cs="Arial"/>
        </w:rPr>
        <w:t>vil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nye</w:t>
      </w:r>
      <w:proofErr w:type="spellEnd"/>
      <w:r w:rsidR="00643E8D">
        <w:rPr>
          <w:rFonts w:cs="Arial"/>
        </w:rPr>
        <w:t xml:space="preserve"> forslag/metodevarsler ha </w:t>
      </w:r>
      <w:proofErr w:type="spellStart"/>
      <w:r w:rsidR="00643E8D">
        <w:rPr>
          <w:rFonts w:cs="Arial"/>
        </w:rPr>
        <w:t>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proofErr w:type="spellEnd"/>
      <w:r>
        <w:rPr>
          <w:rFonts w:cs="Arial"/>
        </w:rPr>
        <w:t xml:space="preserve"> «Forslag </w:t>
      </w:r>
      <w:proofErr w:type="spellStart"/>
      <w:r>
        <w:rPr>
          <w:rFonts w:cs="Arial"/>
        </w:rPr>
        <w:t>mottatt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åpent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innspill</w:t>
      </w:r>
      <w:proofErr w:type="spellEnd"/>
      <w:r>
        <w:rPr>
          <w:rFonts w:cs="Arial"/>
        </w:rPr>
        <w:t>»</w:t>
      </w:r>
      <w:r w:rsidR="00A04572">
        <w:rPr>
          <w:rFonts w:cs="Arial"/>
        </w:rPr>
        <w:t xml:space="preserve"> </w:t>
      </w:r>
      <w:proofErr w:type="spellStart"/>
      <w:r w:rsidR="00643E8D">
        <w:rPr>
          <w:rFonts w:cs="Arial"/>
        </w:rPr>
        <w:t>før</w:t>
      </w:r>
      <w:proofErr w:type="spellEnd"/>
      <w:r w:rsidR="00643E8D">
        <w:rPr>
          <w:rFonts w:cs="Arial"/>
        </w:rPr>
        <w:t xml:space="preserve"> </w:t>
      </w:r>
      <w:proofErr w:type="spellStart"/>
      <w:r w:rsidR="00643E8D">
        <w:rPr>
          <w:rFonts w:cs="Arial"/>
        </w:rPr>
        <w:t>behandling</w:t>
      </w:r>
      <w:proofErr w:type="spellEnd"/>
      <w:r w:rsidR="00643E8D">
        <w:rPr>
          <w:rFonts w:cs="Arial"/>
        </w:rPr>
        <w:t xml:space="preserve"> i </w:t>
      </w:r>
    </w:p>
    <w:p w14:paraId="26175D3B" w14:textId="77777777" w:rsidR="003E11D8" w:rsidRDefault="00643E8D" w:rsidP="003E11D8">
      <w:pPr>
        <w:spacing w:line="240" w:lineRule="auto"/>
        <w:contextualSpacing/>
        <w:rPr>
          <w:rFonts w:cs="Arial"/>
        </w:rPr>
      </w:pPr>
      <w:proofErr w:type="spellStart"/>
      <w:r>
        <w:rPr>
          <w:rFonts w:cs="Arial"/>
        </w:rPr>
        <w:t>Bestillerforum</w:t>
      </w:r>
      <w:proofErr w:type="spellEnd"/>
      <w:r>
        <w:rPr>
          <w:rFonts w:cs="Arial"/>
        </w:rPr>
        <w:t xml:space="preserve"> RHF.</w:t>
      </w:r>
      <w:r w:rsidR="002B3123">
        <w:rPr>
          <w:rFonts w:cs="Arial"/>
        </w:rPr>
        <w:t xml:space="preserve"> </w:t>
      </w:r>
      <w:proofErr w:type="spellStart"/>
      <w:r w:rsidR="002B3123">
        <w:rPr>
          <w:rFonts w:cs="Arial"/>
        </w:rPr>
        <w:t>Utfylt</w:t>
      </w:r>
      <w:proofErr w:type="spellEnd"/>
      <w:r w:rsidR="002B3123">
        <w:rPr>
          <w:rFonts w:cs="Arial"/>
        </w:rPr>
        <w:t xml:space="preserve"> </w:t>
      </w:r>
      <w:proofErr w:type="spellStart"/>
      <w:r w:rsidR="002B3123">
        <w:rPr>
          <w:rFonts w:cs="Arial"/>
        </w:rPr>
        <w:t>skjema</w:t>
      </w:r>
      <w:proofErr w:type="spellEnd"/>
      <w:r w:rsidR="002B3123">
        <w:rPr>
          <w:rFonts w:cs="Arial"/>
        </w:rPr>
        <w:t xml:space="preserve"> </w:t>
      </w:r>
      <w:proofErr w:type="spellStart"/>
      <w:r w:rsidR="002B3123">
        <w:rPr>
          <w:rFonts w:cs="Arial"/>
        </w:rPr>
        <w:t>sendes</w:t>
      </w:r>
      <w:proofErr w:type="spellEnd"/>
      <w:r w:rsidR="002B3123">
        <w:rPr>
          <w:rFonts w:cs="Arial"/>
        </w:rPr>
        <w:t xml:space="preserve"> </w:t>
      </w:r>
      <w:hyperlink r:id="rId9" w:history="1">
        <w:r w:rsidR="002B3123" w:rsidRPr="003F2A15">
          <w:rPr>
            <w:rStyle w:val="Hyperlink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6960546E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2F94026A" w14:textId="77777777" w:rsidR="00C354DD" w:rsidRDefault="00AE58D8" w:rsidP="003E11D8">
      <w:pPr>
        <w:spacing w:line="240" w:lineRule="auto"/>
        <w:contextualSpacing/>
      </w:pPr>
      <w:r w:rsidRPr="00AE58D8">
        <w:rPr>
          <w:b/>
        </w:rPr>
        <w:t>NB</w:t>
      </w:r>
      <w:r>
        <w:t xml:space="preserve">: </w:t>
      </w:r>
      <w:proofErr w:type="spellStart"/>
      <w:r w:rsidR="0091218A" w:rsidRPr="00AE58D8">
        <w:rPr>
          <w:b/>
        </w:rPr>
        <w:t>Punkt</w:t>
      </w:r>
      <w:proofErr w:type="spellEnd"/>
      <w:r w:rsidR="0091218A" w:rsidRPr="00AE58D8">
        <w:rPr>
          <w:b/>
        </w:rPr>
        <w:t xml:space="preserve"> 1-3 </w:t>
      </w:r>
      <w:proofErr w:type="spellStart"/>
      <w:r w:rsidR="0091218A" w:rsidRPr="00AE58D8">
        <w:rPr>
          <w:b/>
        </w:rPr>
        <w:t>og</w:t>
      </w:r>
      <w:proofErr w:type="spellEnd"/>
      <w:r w:rsidR="0091218A" w:rsidRPr="00AE58D8">
        <w:rPr>
          <w:b/>
        </w:rPr>
        <w:t xml:space="preserve">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</w:t>
      </w:r>
      <w:proofErr w:type="spellStart"/>
      <w:r w:rsidR="0091218A" w:rsidRPr="00AE58D8">
        <w:rPr>
          <w:b/>
        </w:rPr>
        <w:t>fylles</w:t>
      </w:r>
      <w:proofErr w:type="spellEnd"/>
      <w:r w:rsidR="0091218A" w:rsidRPr="00AE58D8">
        <w:rPr>
          <w:b/>
        </w:rPr>
        <w:t xml:space="preserve"> </w:t>
      </w:r>
      <w:proofErr w:type="spellStart"/>
      <w:r w:rsidR="0091218A" w:rsidRPr="00AE58D8">
        <w:rPr>
          <w:b/>
        </w:rPr>
        <w:t>ut</w:t>
      </w:r>
      <w:proofErr w:type="spellEnd"/>
      <w:r w:rsidR="0091218A" w:rsidRPr="00AE58D8">
        <w:rPr>
          <w:b/>
        </w:rPr>
        <w:t xml:space="preserve"> </w:t>
      </w:r>
      <w:proofErr w:type="spellStart"/>
      <w:r w:rsidR="0091218A" w:rsidRPr="00AE58D8">
        <w:rPr>
          <w:b/>
        </w:rPr>
        <w:t>av</w:t>
      </w:r>
      <w:proofErr w:type="spellEnd"/>
      <w:r w:rsidR="0091218A" w:rsidRPr="00AE58D8">
        <w:rPr>
          <w:b/>
        </w:rPr>
        <w:t xml:space="preserve"> </w:t>
      </w:r>
      <w:proofErr w:type="spellStart"/>
      <w:r w:rsidR="0091218A" w:rsidRPr="00AE58D8">
        <w:rPr>
          <w:b/>
        </w:rPr>
        <w:t>alle</w:t>
      </w:r>
      <w:proofErr w:type="spellEnd"/>
      <w:r w:rsidR="0091218A" w:rsidRPr="00AE58D8">
        <w:rPr>
          <w:b/>
        </w:rPr>
        <w:t>.</w:t>
      </w:r>
      <w:r w:rsidR="0091218A" w:rsidRPr="002879D8">
        <w:t xml:space="preserve"> </w:t>
      </w:r>
      <w:proofErr w:type="spellStart"/>
      <w:r w:rsidR="0091218A" w:rsidRPr="002879D8">
        <w:t>Punkt</w:t>
      </w:r>
      <w:proofErr w:type="spellEnd"/>
      <w:r w:rsidR="0091218A" w:rsidRPr="002879D8">
        <w:t xml:space="preserve"> 4-9</w:t>
      </w:r>
      <w:r w:rsidR="00C354DD" w:rsidRPr="002879D8">
        <w:t xml:space="preserve"> </w:t>
      </w:r>
      <w:proofErr w:type="spellStart"/>
      <w:r w:rsidR="00C354DD" w:rsidRPr="002879D8">
        <w:t>fylles</w:t>
      </w:r>
      <w:proofErr w:type="spellEnd"/>
      <w:r w:rsidR="00C354DD" w:rsidRPr="002879D8">
        <w:t xml:space="preserve"> </w:t>
      </w:r>
      <w:proofErr w:type="spellStart"/>
      <w:r w:rsidR="00D53539">
        <w:t>ut</w:t>
      </w:r>
      <w:proofErr w:type="spellEnd"/>
      <w:r w:rsidR="00D53539">
        <w:t xml:space="preserve"> </w:t>
      </w:r>
      <w:proofErr w:type="spellStart"/>
      <w:r w:rsidR="00D53539">
        <w:t>avhengig</w:t>
      </w:r>
      <w:proofErr w:type="spellEnd"/>
      <w:r w:rsidR="00D53539">
        <w:t xml:space="preserve"> </w:t>
      </w:r>
      <w:proofErr w:type="spellStart"/>
      <w:r w:rsidR="00D53539">
        <w:t>av</w:t>
      </w:r>
      <w:proofErr w:type="spellEnd"/>
      <w:r w:rsidR="00D53539">
        <w:t xml:space="preserve"> </w:t>
      </w:r>
      <w:proofErr w:type="spellStart"/>
      <w:r w:rsidR="00D53539">
        <w:t>rolle</w:t>
      </w:r>
      <w:proofErr w:type="spellEnd"/>
      <w:r w:rsidR="00D53539">
        <w:t xml:space="preserve"> </w:t>
      </w:r>
      <w:proofErr w:type="spellStart"/>
      <w:r w:rsidR="00D53539">
        <w:t>og</w:t>
      </w:r>
      <w:proofErr w:type="spellEnd"/>
      <w:r w:rsidR="00D53539">
        <w:t xml:space="preserve"> </w:t>
      </w:r>
      <w:proofErr w:type="spellStart"/>
      <w:r w:rsidR="00C354DD" w:rsidRPr="002879D8">
        <w:t>kjennskap</w:t>
      </w:r>
      <w:proofErr w:type="spellEnd"/>
      <w:r w:rsidR="00C354DD" w:rsidRPr="002879D8">
        <w:t xml:space="preserve"> </w:t>
      </w:r>
      <w:proofErr w:type="spellStart"/>
      <w:r w:rsidR="00C354DD" w:rsidRPr="002879D8">
        <w:t>til</w:t>
      </w:r>
      <w:proofErr w:type="spellEnd"/>
      <w:r w:rsidR="00C354DD" w:rsidRPr="002879D8">
        <w:t xml:space="preserve"> </w:t>
      </w:r>
      <w:proofErr w:type="spellStart"/>
      <w:r w:rsidR="00C354DD" w:rsidRPr="002879D8">
        <w:t>metoden</w:t>
      </w:r>
      <w:proofErr w:type="spellEnd"/>
      <w:r w:rsidR="00C354DD" w:rsidRPr="002879D8">
        <w:t>.</w:t>
      </w:r>
    </w:p>
    <w:p w14:paraId="52BE1892" w14:textId="12230AA9" w:rsidR="0075491C" w:rsidRDefault="003E11D8" w:rsidP="002879D8">
      <w:r>
        <w:rPr>
          <w:rFonts w:cs="Arial"/>
        </w:rPr>
        <w:br/>
      </w:r>
      <w:proofErr w:type="spellStart"/>
      <w:r w:rsidRPr="00BB7BBF">
        <w:rPr>
          <w:b/>
        </w:rPr>
        <w:t>Jeg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er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klar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over</w:t>
      </w:r>
      <w:proofErr w:type="spellEnd"/>
      <w:r w:rsidRPr="00BB7BBF">
        <w:rPr>
          <w:b/>
        </w:rPr>
        <w:t xml:space="preserve"> at </w:t>
      </w:r>
      <w:proofErr w:type="spellStart"/>
      <w:r w:rsidRPr="00BB7BBF">
        <w:rPr>
          <w:b/>
        </w:rPr>
        <w:t>skjemaet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vil</w:t>
      </w:r>
      <w:proofErr w:type="spellEnd"/>
      <w:r w:rsidRPr="00BB7BBF">
        <w:rPr>
          <w:b/>
        </w:rPr>
        <w:t xml:space="preserve"> bli </w:t>
      </w:r>
      <w:proofErr w:type="spellStart"/>
      <w:r w:rsidRPr="00BB7BBF">
        <w:rPr>
          <w:b/>
        </w:rPr>
        <w:t>publisert</w:t>
      </w:r>
      <w:proofErr w:type="spellEnd"/>
      <w:r w:rsidRPr="00BB7BBF">
        <w:rPr>
          <w:b/>
        </w:rPr>
        <w:t xml:space="preserve"> i </w:t>
      </w:r>
      <w:proofErr w:type="spellStart"/>
      <w:r w:rsidRPr="00BB7BBF">
        <w:rPr>
          <w:b/>
        </w:rPr>
        <w:t>sin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helhet</w:t>
      </w:r>
      <w:proofErr w:type="spellEnd"/>
      <w:r w:rsidR="002879D8">
        <w:rPr>
          <w:b/>
        </w:rPr>
        <w:t xml:space="preserve"> </w:t>
      </w:r>
      <w:proofErr w:type="spellStart"/>
      <w:r w:rsidR="002879D8">
        <w:rPr>
          <w:b/>
        </w:rPr>
        <w:t>på</w:t>
      </w:r>
      <w:proofErr w:type="spellEnd"/>
      <w:r w:rsidR="002879D8">
        <w:rPr>
          <w:b/>
        </w:rPr>
        <w:t xml:space="preserve"> nyemetoder.no</w:t>
      </w:r>
      <w:r w:rsidRPr="00BB7BBF">
        <w:rPr>
          <w:b/>
        </w:rPr>
        <w:t xml:space="preserve"> (</w:t>
      </w:r>
      <w:proofErr w:type="spellStart"/>
      <w:r w:rsidRPr="00BB7BBF">
        <w:rPr>
          <w:b/>
        </w:rPr>
        <w:t>kryss</w:t>
      </w:r>
      <w:proofErr w:type="spellEnd"/>
      <w:r w:rsidRPr="00BB7BBF">
        <w:rPr>
          <w:b/>
        </w:rPr>
        <w:t xml:space="preserve"> </w:t>
      </w:r>
      <w:proofErr w:type="spellStart"/>
      <w:r w:rsidRPr="00BB7BBF">
        <w:rPr>
          <w:b/>
        </w:rPr>
        <w:t>av</w:t>
      </w:r>
      <w:proofErr w:type="spellEnd"/>
      <w:r w:rsidRPr="00BB7BBF">
        <w:rPr>
          <w:b/>
        </w:rPr>
        <w:t xml:space="preserve">):                 </w:t>
      </w:r>
      <w:r w:rsidR="0075491C">
        <w:rPr>
          <w:rFonts w:ascii="MS Gothic" w:eastAsia="MS Gothic" w:hAnsi="MS Gothic" w:hint="eastAsia"/>
          <w:b/>
        </w:rPr>
        <w:t>☒</w:t>
      </w:r>
    </w:p>
    <w:p w14:paraId="61C17280" w14:textId="77777777" w:rsidR="002879D8" w:rsidRPr="0075491C" w:rsidRDefault="002879D8" w:rsidP="002879D8">
      <w:proofErr w:type="spellStart"/>
      <w:r>
        <w:t>Har</w:t>
      </w:r>
      <w:proofErr w:type="spellEnd"/>
      <w:r>
        <w:t xml:space="preserve"> du </w:t>
      </w:r>
      <w:proofErr w:type="spellStart"/>
      <w:r>
        <w:t>informasjon</w:t>
      </w:r>
      <w:proofErr w:type="spellEnd"/>
      <w:r>
        <w:t xml:space="preserve"> du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kan</w:t>
      </w:r>
      <w:proofErr w:type="spellEnd"/>
      <w:r w:rsidRPr="00BB7BBF">
        <w:t xml:space="preserve"> </w:t>
      </w:r>
      <w:proofErr w:type="spellStart"/>
      <w:r w:rsidRPr="00BB7BBF">
        <w:t>offentliggjøres</w:t>
      </w:r>
      <w:proofErr w:type="spellEnd"/>
      <w:r>
        <w:t>,</w:t>
      </w:r>
      <w:r w:rsidRPr="00BB7BBF">
        <w:t xml:space="preserve"> ta kontakt </w:t>
      </w:r>
      <w:proofErr w:type="spellStart"/>
      <w:r w:rsidRPr="00BB7BBF">
        <w:t>med</w:t>
      </w:r>
      <w:proofErr w:type="spellEnd"/>
      <w:r w:rsidRPr="00BB7BBF">
        <w:t xml:space="preserve"> </w:t>
      </w:r>
      <w:proofErr w:type="spellStart"/>
      <w:r w:rsidRPr="00BB7BBF">
        <w:t>sekretariatet</w:t>
      </w:r>
      <w:proofErr w:type="spellEnd"/>
      <w:r w:rsidRPr="00BB7BBF">
        <w:t xml:space="preserve"> </w:t>
      </w:r>
      <w:proofErr w:type="spellStart"/>
      <w:r w:rsidRPr="00BB7BBF">
        <w:rPr>
          <w:u w:val="single"/>
        </w:rPr>
        <w:t>før</w:t>
      </w:r>
      <w:proofErr w:type="spellEnd"/>
      <w:r w:rsidRPr="00BB7BBF">
        <w:rPr>
          <w:u w:val="single"/>
        </w:rPr>
        <w:t xml:space="preserve"> </w:t>
      </w:r>
      <w:proofErr w:type="spellStart"/>
      <w:r w:rsidRPr="00BB7BBF">
        <w:rPr>
          <w:u w:val="single"/>
        </w:rPr>
        <w:t>innsending</w:t>
      </w:r>
      <w:proofErr w:type="spellEnd"/>
      <w:r>
        <w:rPr>
          <w:b/>
        </w:rPr>
        <w:t xml:space="preserve">. </w:t>
      </w:r>
    </w:p>
    <w:p w14:paraId="5552940E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C06CB14" w14:textId="77777777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proofErr w:type="spellStart"/>
      <w:r>
        <w:rPr>
          <w:b/>
        </w:rPr>
        <w:t>Jeg</w:t>
      </w:r>
      <w:proofErr w:type="spellEnd"/>
      <w:r w:rsidRPr="005805DE">
        <w:rPr>
          <w:b/>
        </w:rPr>
        <w:t xml:space="preserve"> </w:t>
      </w:r>
      <w:proofErr w:type="spellStart"/>
      <w:r w:rsidRPr="005805DE">
        <w:rPr>
          <w:b/>
        </w:rPr>
        <w:t>har</w:t>
      </w:r>
      <w:proofErr w:type="spellEnd"/>
      <w:r w:rsidRPr="005805DE">
        <w:rPr>
          <w:b/>
        </w:rPr>
        <w:t xml:space="preserve"> </w:t>
      </w:r>
      <w:proofErr w:type="spellStart"/>
      <w:r w:rsidRPr="005805DE">
        <w:rPr>
          <w:b/>
        </w:rPr>
        <w:t>fylt</w:t>
      </w:r>
      <w:proofErr w:type="spellEnd"/>
      <w:r w:rsidRPr="005805DE">
        <w:rPr>
          <w:b/>
        </w:rPr>
        <w:t xml:space="preserve"> </w:t>
      </w:r>
      <w:proofErr w:type="spellStart"/>
      <w:r w:rsidRPr="005805DE">
        <w:rPr>
          <w:b/>
        </w:rPr>
        <w:t>ut</w:t>
      </w:r>
      <w:proofErr w:type="spellEnd"/>
      <w:r w:rsidRPr="005805DE">
        <w:rPr>
          <w:b/>
        </w:rPr>
        <w:t xml:space="preserve"> </w:t>
      </w:r>
      <w:proofErr w:type="spellStart"/>
      <w:r w:rsidRPr="005805DE">
        <w:rPr>
          <w:b/>
        </w:rPr>
        <w:t>punkt</w:t>
      </w:r>
      <w:proofErr w:type="spellEnd"/>
      <w:r w:rsidRPr="005805DE">
        <w:rPr>
          <w:b/>
        </w:rPr>
        <w:t xml:space="preserve">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</w:t>
      </w:r>
      <w:proofErr w:type="spellStart"/>
      <w:r w:rsidRPr="005805DE">
        <w:rPr>
          <w:b/>
        </w:rPr>
        <w:t>ned</w:t>
      </w:r>
      <w:r>
        <w:rPr>
          <w:b/>
        </w:rPr>
        <w:t>enfor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Interesser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eventuelle</w:t>
      </w:r>
      <w:proofErr w:type="spellEnd"/>
      <w:r>
        <w:rPr>
          <w:b/>
        </w:rPr>
        <w:t xml:space="preserve"> </w:t>
      </w:r>
      <w:proofErr w:type="spellStart"/>
      <w:r w:rsidRPr="005805DE">
        <w:rPr>
          <w:b/>
        </w:rPr>
        <w:t>interessek</w:t>
      </w:r>
      <w:r>
        <w:rPr>
          <w:b/>
        </w:rPr>
        <w:t>onflikter</w:t>
      </w:r>
      <w:proofErr w:type="spellEnd"/>
      <w:r>
        <w:rPr>
          <w:b/>
        </w:rPr>
        <w:t>» (</w:t>
      </w:r>
      <w:proofErr w:type="spellStart"/>
      <w:r>
        <w:rPr>
          <w:b/>
        </w:rPr>
        <w:t>kryss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):  </w:t>
      </w:r>
      <w:r w:rsidR="006D3711">
        <w:rPr>
          <w:b/>
        </w:rPr>
        <w:t xml:space="preserve">    </w:t>
      </w:r>
      <w:r w:rsidR="0075491C">
        <w:rPr>
          <w:rFonts w:ascii="MS Gothic" w:eastAsia="MS Gothic" w:hAnsi="MS Gothic" w:hint="eastAsia"/>
          <w:b/>
        </w:rPr>
        <w:t>☒</w:t>
      </w:r>
      <w:r w:rsidRPr="005805DE">
        <w:rPr>
          <w:b/>
        </w:rPr>
        <w:t xml:space="preserve"> </w:t>
      </w:r>
    </w:p>
    <w:p w14:paraId="07F76A8C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3E11D8" w:rsidRPr="00681ECD" w14:paraId="788B4F71" w14:textId="77777777" w:rsidTr="00041E5D">
        <w:trPr>
          <w:trHeight w:val="715"/>
        </w:trPr>
        <w:tc>
          <w:tcPr>
            <w:tcW w:w="8755" w:type="dxa"/>
            <w:gridSpan w:val="2"/>
            <w:shd w:val="clear" w:color="auto" w:fill="auto"/>
          </w:tcPr>
          <w:p w14:paraId="39BF3CC6" w14:textId="655CBFA6" w:rsidR="003E11D8" w:rsidRPr="00681ECD" w:rsidRDefault="003E11D8" w:rsidP="00681ECD">
            <w:pPr>
              <w:pStyle w:val="Heading3"/>
              <w:spacing w:after="240" w:line="240" w:lineRule="auto"/>
              <w:jc w:val="both"/>
              <w:rPr>
                <w:color w:val="auto"/>
              </w:rPr>
            </w:pPr>
            <w:r w:rsidRPr="00681ECD">
              <w:rPr>
                <w:color w:val="auto"/>
              </w:rPr>
              <w:t>1.Hvilken metode</w:t>
            </w:r>
            <w:r w:rsidR="005079D3" w:rsidRPr="00681ECD">
              <w:rPr>
                <w:color w:val="auto"/>
              </w:rPr>
              <w:t xml:space="preserve"> </w:t>
            </w:r>
            <w:proofErr w:type="spellStart"/>
            <w:r w:rsidR="005079D3" w:rsidRPr="00681ECD">
              <w:rPr>
                <w:color w:val="auto"/>
              </w:rPr>
              <w:t>gjelder</w:t>
            </w:r>
            <w:proofErr w:type="spellEnd"/>
            <w:r w:rsidR="005079D3" w:rsidRPr="00681ECD">
              <w:rPr>
                <w:color w:val="auto"/>
              </w:rPr>
              <w:t xml:space="preserve"> </w:t>
            </w:r>
            <w:proofErr w:type="spellStart"/>
            <w:r w:rsidR="005079D3" w:rsidRPr="00681ECD">
              <w:rPr>
                <w:color w:val="auto"/>
              </w:rPr>
              <w:t>innspillet</w:t>
            </w:r>
            <w:proofErr w:type="spellEnd"/>
            <w:r w:rsidR="0091218A" w:rsidRPr="00681ECD">
              <w:rPr>
                <w:color w:val="auto"/>
              </w:rPr>
              <w:t>?</w:t>
            </w:r>
            <w:r w:rsidR="0075491C" w:rsidRPr="00681ECD">
              <w:t xml:space="preserve"> </w:t>
            </w:r>
          </w:p>
        </w:tc>
      </w:tr>
      <w:tr w:rsidR="003E11D8" w:rsidRPr="00681ECD" w14:paraId="43EBE608" w14:textId="77777777" w:rsidTr="00681ECD">
        <w:tc>
          <w:tcPr>
            <w:tcW w:w="4077" w:type="dxa"/>
            <w:shd w:val="clear" w:color="auto" w:fill="auto"/>
          </w:tcPr>
          <w:p w14:paraId="1373A840" w14:textId="77777777" w:rsidR="003E11D8" w:rsidRPr="00681ECD" w:rsidRDefault="003E11D8" w:rsidP="00681ECD">
            <w:pPr>
              <w:spacing w:after="0" w:line="240" w:lineRule="auto"/>
            </w:pPr>
            <w:proofErr w:type="spellStart"/>
            <w:r w:rsidRPr="00681ECD">
              <w:t>Metodens</w:t>
            </w:r>
            <w:proofErr w:type="spellEnd"/>
            <w:r w:rsidRPr="00681ECD">
              <w:t xml:space="preserve"> ID </w:t>
            </w:r>
            <w:proofErr w:type="spellStart"/>
            <w:r w:rsidRPr="00681ECD">
              <w:t>nummer</w:t>
            </w:r>
            <w:proofErr w:type="spellEnd"/>
            <w:r w:rsidRPr="00681ECD">
              <w:t>*:</w:t>
            </w:r>
          </w:p>
        </w:tc>
        <w:tc>
          <w:tcPr>
            <w:tcW w:w="4678" w:type="dxa"/>
            <w:shd w:val="clear" w:color="auto" w:fill="auto"/>
          </w:tcPr>
          <w:p w14:paraId="570A5F03" w14:textId="0F576B39" w:rsidR="006F6B4F" w:rsidRPr="00681ECD" w:rsidRDefault="00041E5D" w:rsidP="00681ECD">
            <w:pPr>
              <w:spacing w:after="0" w:line="240" w:lineRule="auto"/>
            </w:pPr>
            <w:r w:rsidRPr="00041E5D">
              <w:t>ID2020_097</w:t>
            </w:r>
          </w:p>
        </w:tc>
      </w:tr>
      <w:tr w:rsidR="003E11D8" w:rsidRPr="00681ECD" w14:paraId="5C99FFDB" w14:textId="77777777" w:rsidTr="00681ECD">
        <w:tc>
          <w:tcPr>
            <w:tcW w:w="4077" w:type="dxa"/>
            <w:shd w:val="clear" w:color="auto" w:fill="auto"/>
          </w:tcPr>
          <w:p w14:paraId="4BE4A8FB" w14:textId="77777777" w:rsidR="003E11D8" w:rsidRPr="009255DB" w:rsidRDefault="003E11D8" w:rsidP="00681ECD">
            <w:pPr>
              <w:spacing w:after="0" w:line="240" w:lineRule="auto"/>
            </w:pPr>
            <w:proofErr w:type="spellStart"/>
            <w:r w:rsidRPr="009255DB">
              <w:t>Metodens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tittel</w:t>
            </w:r>
            <w:proofErr w:type="spellEnd"/>
            <w:r w:rsidRPr="009255DB">
              <w:t>:</w:t>
            </w:r>
          </w:p>
        </w:tc>
        <w:tc>
          <w:tcPr>
            <w:tcW w:w="4678" w:type="dxa"/>
            <w:shd w:val="clear" w:color="auto" w:fill="auto"/>
          </w:tcPr>
          <w:p w14:paraId="3A54A711" w14:textId="77777777" w:rsidR="003C6E52" w:rsidRPr="009255DB" w:rsidRDefault="003C6E52" w:rsidP="00681ECD">
            <w:pPr>
              <w:spacing w:after="0" w:line="240" w:lineRule="auto"/>
            </w:pPr>
            <w:proofErr w:type="spellStart"/>
            <w:r w:rsidRPr="009255DB">
              <w:t>Buprenorphine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implant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for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substitution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treatment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of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opioid</w:t>
            </w:r>
            <w:proofErr w:type="spellEnd"/>
            <w:r w:rsidR="007F7717" w:rsidRPr="009255DB">
              <w:t xml:space="preserve"> </w:t>
            </w:r>
            <w:proofErr w:type="spellStart"/>
            <w:r w:rsidR="007F7717" w:rsidRPr="009255DB">
              <w:t>dependence</w:t>
            </w:r>
            <w:proofErr w:type="spellEnd"/>
            <w:r w:rsidR="001F3720" w:rsidRPr="009255DB">
              <w:t xml:space="preserve"> </w:t>
            </w:r>
            <w:r w:rsidR="002D4B8A" w:rsidRPr="009255DB">
              <w:t>(</w:t>
            </w:r>
            <w:proofErr w:type="spellStart"/>
            <w:r w:rsidR="002D4B8A" w:rsidRPr="009255DB">
              <w:t>Sixmo</w:t>
            </w:r>
            <w:proofErr w:type="spellEnd"/>
            <w:r w:rsidR="002D4B8A" w:rsidRPr="009255DB">
              <w:rPr>
                <w:rFonts w:cs="Calibri"/>
                <w:vertAlign w:val="superscript"/>
                <w:lang w:val="en-US"/>
              </w:rPr>
              <w:t>®</w:t>
            </w:r>
            <w:r w:rsidR="002D4B8A" w:rsidRPr="009255DB">
              <w:rPr>
                <w:rFonts w:cs="Calibri"/>
                <w:lang w:val="en-US"/>
              </w:rPr>
              <w:t>)</w:t>
            </w:r>
          </w:p>
        </w:tc>
      </w:tr>
    </w:tbl>
    <w:p w14:paraId="1AF955BE" w14:textId="77777777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</w:t>
      </w:r>
      <w:proofErr w:type="spellStart"/>
      <w:r>
        <w:rPr>
          <w:sz w:val="18"/>
          <w:szCs w:val="24"/>
        </w:rPr>
        <w:t>nummer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finner</w:t>
      </w:r>
      <w:proofErr w:type="spellEnd"/>
      <w:r>
        <w:rPr>
          <w:sz w:val="18"/>
          <w:szCs w:val="24"/>
        </w:rPr>
        <w:t xml:space="preserve"> du </w:t>
      </w:r>
      <w:proofErr w:type="spellStart"/>
      <w:r>
        <w:rPr>
          <w:sz w:val="18"/>
          <w:szCs w:val="24"/>
        </w:rPr>
        <w:t>på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metodesiden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på</w:t>
      </w:r>
      <w:proofErr w:type="spellEnd"/>
      <w:r>
        <w:rPr>
          <w:sz w:val="18"/>
          <w:szCs w:val="24"/>
        </w:rPr>
        <w:t xml:space="preserve"> n</w:t>
      </w:r>
      <w:r w:rsidR="00D1082E">
        <w:rPr>
          <w:sz w:val="18"/>
          <w:szCs w:val="24"/>
        </w:rPr>
        <w:t xml:space="preserve">yemetoder.no </w:t>
      </w:r>
      <w:proofErr w:type="spellStart"/>
      <w:r w:rsidR="00D1082E">
        <w:rPr>
          <w:sz w:val="18"/>
          <w:szCs w:val="24"/>
        </w:rPr>
        <w:t>og</w:t>
      </w:r>
      <w:proofErr w:type="spellEnd"/>
      <w:r w:rsidR="00D1082E">
        <w:rPr>
          <w:sz w:val="18"/>
          <w:szCs w:val="24"/>
        </w:rPr>
        <w:t xml:space="preserve"> </w:t>
      </w:r>
      <w:proofErr w:type="spellStart"/>
      <w:r w:rsidR="00D1082E">
        <w:rPr>
          <w:sz w:val="18"/>
          <w:szCs w:val="24"/>
        </w:rPr>
        <w:t>har</w:t>
      </w:r>
      <w:proofErr w:type="spellEnd"/>
      <w:r w:rsidR="00D1082E">
        <w:rPr>
          <w:sz w:val="18"/>
          <w:szCs w:val="24"/>
        </w:rPr>
        <w:t xml:space="preserve"> </w:t>
      </w:r>
      <w:proofErr w:type="spellStart"/>
      <w:r w:rsidR="00D1082E">
        <w:rPr>
          <w:sz w:val="18"/>
          <w:szCs w:val="24"/>
        </w:rPr>
        <w:t>formen</w:t>
      </w:r>
      <w:proofErr w:type="spellEnd"/>
      <w:r w:rsidR="00D1082E">
        <w:rPr>
          <w:sz w:val="18"/>
          <w:szCs w:val="24"/>
        </w:rPr>
        <w:t xml:space="preserve">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6A5B240D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3E11D8" w:rsidRPr="00681ECD" w14:paraId="0DBACC23" w14:textId="77777777" w:rsidTr="00681ECD">
        <w:tc>
          <w:tcPr>
            <w:tcW w:w="8755" w:type="dxa"/>
            <w:gridSpan w:val="2"/>
            <w:shd w:val="clear" w:color="auto" w:fill="auto"/>
          </w:tcPr>
          <w:p w14:paraId="4B942777" w14:textId="214085BA" w:rsidR="003E11D8" w:rsidRPr="009255DB" w:rsidRDefault="003E11D8" w:rsidP="00681ECD">
            <w:pPr>
              <w:pStyle w:val="Heading3"/>
              <w:spacing w:after="240" w:line="240" w:lineRule="auto"/>
              <w:jc w:val="both"/>
              <w:rPr>
                <w:color w:val="auto"/>
              </w:rPr>
            </w:pPr>
            <w:r w:rsidRPr="00681ECD">
              <w:rPr>
                <w:color w:val="auto"/>
              </w:rPr>
              <w:t xml:space="preserve">2. </w:t>
            </w:r>
            <w:proofErr w:type="spellStart"/>
            <w:r w:rsidRPr="00681ECD">
              <w:rPr>
                <w:color w:val="auto"/>
              </w:rPr>
              <w:t>Opplysninger</w:t>
            </w:r>
            <w:proofErr w:type="spellEnd"/>
            <w:r w:rsidRPr="00681ECD">
              <w:rPr>
                <w:color w:val="auto"/>
              </w:rPr>
              <w:t xml:space="preserve"> </w:t>
            </w:r>
            <w:proofErr w:type="spellStart"/>
            <w:r w:rsidRPr="00681ECD">
              <w:rPr>
                <w:color w:val="auto"/>
              </w:rPr>
              <w:t>om</w:t>
            </w:r>
            <w:proofErr w:type="spellEnd"/>
            <w:r w:rsidRPr="00681ECD">
              <w:rPr>
                <w:color w:val="auto"/>
              </w:rPr>
              <w:t xml:space="preserve"> </w:t>
            </w:r>
            <w:proofErr w:type="spellStart"/>
            <w:r w:rsidRPr="00681ECD">
              <w:rPr>
                <w:color w:val="auto"/>
              </w:rPr>
              <w:t>den</w:t>
            </w:r>
            <w:proofErr w:type="spellEnd"/>
            <w:r w:rsidRPr="00681ECD">
              <w:rPr>
                <w:color w:val="auto"/>
              </w:rPr>
              <w:t xml:space="preserve"> </w:t>
            </w:r>
            <w:proofErr w:type="spellStart"/>
            <w:r w:rsidRPr="00681ECD">
              <w:rPr>
                <w:color w:val="auto"/>
              </w:rPr>
              <w:t>som</w:t>
            </w:r>
            <w:proofErr w:type="spellEnd"/>
            <w:r w:rsidRPr="00681ECD">
              <w:rPr>
                <w:color w:val="auto"/>
              </w:rPr>
              <w:t xml:space="preserve"> gir </w:t>
            </w:r>
            <w:proofErr w:type="spellStart"/>
            <w:r w:rsidRPr="00681ECD">
              <w:rPr>
                <w:color w:val="auto"/>
              </w:rPr>
              <w:t>innspill</w:t>
            </w:r>
            <w:proofErr w:type="spellEnd"/>
            <w:r w:rsidR="0075491C" w:rsidRPr="00681ECD">
              <w:rPr>
                <w:color w:val="auto"/>
              </w:rPr>
              <w:t xml:space="preserve"> </w:t>
            </w:r>
          </w:p>
        </w:tc>
      </w:tr>
      <w:tr w:rsidR="003E11D8" w:rsidRPr="00681ECD" w14:paraId="4495483D" w14:textId="77777777" w:rsidTr="00681ECD">
        <w:tc>
          <w:tcPr>
            <w:tcW w:w="4077" w:type="dxa"/>
            <w:shd w:val="clear" w:color="auto" w:fill="auto"/>
          </w:tcPr>
          <w:p w14:paraId="52360E44" w14:textId="77777777" w:rsidR="003E11D8" w:rsidRPr="00681ECD" w:rsidRDefault="005079D3" w:rsidP="00681ECD">
            <w:pPr>
              <w:spacing w:after="0" w:line="240" w:lineRule="auto"/>
            </w:pPr>
            <w:proofErr w:type="spellStart"/>
            <w:r w:rsidRPr="00681ECD">
              <w:t>Navn</w:t>
            </w:r>
            <w:proofErr w:type="spellEnd"/>
            <w:r w:rsidRPr="00681ECD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7ECE1F57" w14:textId="77777777" w:rsidR="008639F1" w:rsidRPr="009255DB" w:rsidRDefault="003C6E52" w:rsidP="00681ECD">
            <w:pPr>
              <w:spacing w:after="0" w:line="240" w:lineRule="auto"/>
            </w:pPr>
            <w:r w:rsidRPr="009255DB">
              <w:t>Kajsa Eriksson</w:t>
            </w:r>
          </w:p>
        </w:tc>
      </w:tr>
      <w:tr w:rsidR="003E11D8" w:rsidRPr="00681ECD" w14:paraId="67142B0E" w14:textId="77777777" w:rsidTr="00681ECD">
        <w:tc>
          <w:tcPr>
            <w:tcW w:w="4077" w:type="dxa"/>
            <w:shd w:val="clear" w:color="auto" w:fill="auto"/>
          </w:tcPr>
          <w:p w14:paraId="2E011AE9" w14:textId="77777777" w:rsidR="003E11D8" w:rsidRPr="00681ECD" w:rsidRDefault="003E11D8" w:rsidP="00681ECD">
            <w:pPr>
              <w:spacing w:after="0" w:line="240" w:lineRule="auto"/>
            </w:pPr>
            <w:proofErr w:type="spellStart"/>
            <w:r w:rsidRPr="00681ECD">
              <w:t>Eventuell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organisasjon</w:t>
            </w:r>
            <w:proofErr w:type="spellEnd"/>
            <w:r w:rsidRPr="00681ECD">
              <w:t>/</w:t>
            </w:r>
            <w:proofErr w:type="spellStart"/>
            <w:r w:rsidRPr="00681ECD">
              <w:t>arbeidsplass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B7232CF" w14:textId="77777777" w:rsidR="008639F1" w:rsidRPr="009255DB" w:rsidRDefault="0075491C" w:rsidP="00681ECD">
            <w:pPr>
              <w:spacing w:after="0" w:line="240" w:lineRule="auto"/>
            </w:pPr>
            <w:r w:rsidRPr="009255DB">
              <w:t xml:space="preserve">Accord </w:t>
            </w:r>
            <w:proofErr w:type="spellStart"/>
            <w:r w:rsidRPr="009255DB">
              <w:t>Healthcare</w:t>
            </w:r>
            <w:proofErr w:type="spellEnd"/>
            <w:r w:rsidR="001F3720" w:rsidRPr="009255DB">
              <w:t xml:space="preserve"> AB</w:t>
            </w:r>
          </w:p>
        </w:tc>
      </w:tr>
      <w:tr w:rsidR="003E11D8" w:rsidRPr="00681ECD" w14:paraId="321CF797" w14:textId="77777777" w:rsidTr="00681ECD">
        <w:tc>
          <w:tcPr>
            <w:tcW w:w="4077" w:type="dxa"/>
            <w:shd w:val="clear" w:color="auto" w:fill="auto"/>
          </w:tcPr>
          <w:p w14:paraId="0BC49BAB" w14:textId="77777777" w:rsidR="003E11D8" w:rsidRPr="00681ECD" w:rsidRDefault="005079D3" w:rsidP="00681ECD">
            <w:pPr>
              <w:spacing w:after="0" w:line="240" w:lineRule="auto"/>
            </w:pPr>
            <w:proofErr w:type="spellStart"/>
            <w:r w:rsidRPr="00681ECD">
              <w:t>Kontaktinformasjon</w:t>
            </w:r>
            <w:proofErr w:type="spellEnd"/>
            <w:r w:rsidR="003E11D8" w:rsidRPr="00681ECD">
              <w:t xml:space="preserve"> (e-</w:t>
            </w:r>
            <w:proofErr w:type="spellStart"/>
            <w:r w:rsidR="003E11D8" w:rsidRPr="00681ECD">
              <w:t>post</w:t>
            </w:r>
            <w:proofErr w:type="spellEnd"/>
            <w:r w:rsidR="003E11D8" w:rsidRPr="00681ECD">
              <w:t xml:space="preserve"> / </w:t>
            </w:r>
            <w:proofErr w:type="spellStart"/>
            <w:r w:rsidR="003E11D8" w:rsidRPr="00681ECD">
              <w:t>telefon</w:t>
            </w:r>
            <w:proofErr w:type="spellEnd"/>
            <w:r w:rsidR="003E11D8" w:rsidRPr="00681ECD">
              <w:t>)</w:t>
            </w:r>
          </w:p>
        </w:tc>
        <w:tc>
          <w:tcPr>
            <w:tcW w:w="4678" w:type="dxa"/>
            <w:shd w:val="clear" w:color="auto" w:fill="auto"/>
          </w:tcPr>
          <w:p w14:paraId="1094B1F6" w14:textId="77777777" w:rsidR="008639F1" w:rsidRPr="009255DB" w:rsidRDefault="0004473E" w:rsidP="00681ECD">
            <w:pPr>
              <w:spacing w:after="0" w:line="240" w:lineRule="auto"/>
            </w:pPr>
            <w:hyperlink r:id="rId10" w:history="1">
              <w:r w:rsidR="001F3720" w:rsidRPr="009255DB">
                <w:rPr>
                  <w:rStyle w:val="Hyperlink"/>
                </w:rPr>
                <w:t>kajsa_eriksson@accord-healthcare.com</w:t>
              </w:r>
            </w:hyperlink>
          </w:p>
          <w:p w14:paraId="337BDEBE" w14:textId="77777777" w:rsidR="001F3720" w:rsidRPr="009255DB" w:rsidRDefault="001F3720" w:rsidP="00681ECD">
            <w:pPr>
              <w:spacing w:after="0" w:line="240" w:lineRule="auto"/>
            </w:pPr>
            <w:r w:rsidRPr="009255DB">
              <w:t>+46 (0) 70 589 89 98</w:t>
            </w:r>
          </w:p>
        </w:tc>
      </w:tr>
    </w:tbl>
    <w:p w14:paraId="1C532A28" w14:textId="77777777" w:rsidR="003E11D8" w:rsidRPr="00D1082E" w:rsidRDefault="003E11D8" w:rsidP="0091218A">
      <w:pPr>
        <w:pStyle w:val="Heading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354DD" w:rsidRPr="00681ECD" w14:paraId="038E18DB" w14:textId="77777777" w:rsidTr="00681ECD">
        <w:tc>
          <w:tcPr>
            <w:tcW w:w="8784" w:type="dxa"/>
            <w:shd w:val="clear" w:color="auto" w:fill="auto"/>
          </w:tcPr>
          <w:p w14:paraId="35406C78" w14:textId="7B4BA5EE" w:rsidR="0075491C" w:rsidRPr="009255DB" w:rsidRDefault="00702941" w:rsidP="009255DB">
            <w:pPr>
              <w:pStyle w:val="Heading3"/>
              <w:spacing w:after="240" w:line="240" w:lineRule="auto"/>
              <w:jc w:val="both"/>
              <w:rPr>
                <w:color w:val="auto"/>
              </w:rPr>
            </w:pPr>
            <w:r w:rsidRPr="00681ECD">
              <w:rPr>
                <w:color w:val="auto"/>
              </w:rPr>
              <w:t xml:space="preserve">3. </w:t>
            </w:r>
            <w:proofErr w:type="spellStart"/>
            <w:r w:rsidR="00C354DD" w:rsidRPr="00681ECD">
              <w:rPr>
                <w:color w:val="auto"/>
              </w:rPr>
              <w:t>Oppsummert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innspill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til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metoden</w:t>
            </w:r>
            <w:proofErr w:type="spellEnd"/>
            <w:r w:rsidR="00C354DD" w:rsidRPr="00681ECD">
              <w:rPr>
                <w:color w:val="auto"/>
              </w:rPr>
              <w:t xml:space="preserve"> (</w:t>
            </w:r>
            <w:proofErr w:type="spellStart"/>
            <w:r w:rsidR="00C354DD" w:rsidRPr="00681ECD">
              <w:rPr>
                <w:color w:val="auto"/>
              </w:rPr>
              <w:t>besvares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av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alle</w:t>
            </w:r>
            <w:proofErr w:type="spellEnd"/>
            <w:r w:rsidR="00C354DD" w:rsidRPr="00681ECD">
              <w:rPr>
                <w:color w:val="auto"/>
              </w:rPr>
              <w:t>)</w:t>
            </w:r>
          </w:p>
        </w:tc>
      </w:tr>
      <w:tr w:rsidR="00C354DD" w:rsidRPr="00681ECD" w14:paraId="71D263C1" w14:textId="77777777" w:rsidTr="00681ECD">
        <w:trPr>
          <w:trHeight w:val="512"/>
        </w:trPr>
        <w:tc>
          <w:tcPr>
            <w:tcW w:w="8784" w:type="dxa"/>
            <w:shd w:val="clear" w:color="auto" w:fill="auto"/>
          </w:tcPr>
          <w:p w14:paraId="7D5C3430" w14:textId="77777777" w:rsidR="001F3720" w:rsidRPr="009255DB" w:rsidRDefault="001F3720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bookmarkStart w:id="0" w:name="_Hlk32238929"/>
            <w:proofErr w:type="spellStart"/>
            <w:r w:rsidRPr="009255DB">
              <w:rPr>
                <w:rFonts w:cs="Calibri"/>
                <w:lang w:val="en-US"/>
              </w:rPr>
              <w:t>Sixmo</w:t>
            </w:r>
            <w:proofErr w:type="spellEnd"/>
            <w:r w:rsidRPr="009255DB">
              <w:rPr>
                <w:rFonts w:cs="Calibri"/>
                <w:vertAlign w:val="superscript"/>
                <w:lang w:val="en-US"/>
              </w:rPr>
              <w:t>®</w:t>
            </w:r>
            <w:r w:rsidRPr="009255DB">
              <w:rPr>
                <w:rFonts w:cs="Calibri"/>
                <w:lang w:val="en-US"/>
              </w:rPr>
              <w:t xml:space="preserve"> is a subcutaneous implant </w:t>
            </w:r>
            <w:r w:rsidR="0047521C" w:rsidRPr="009255DB">
              <w:rPr>
                <w:rFonts w:cs="Calibri"/>
                <w:lang w:val="en-US"/>
              </w:rPr>
              <w:t xml:space="preserve">that contains 74.2 mg of buprenorphine free base (equivalent to 80 mg of buprenorphine hydrochloride) as shown on the picture below (size of each implant 26 mm x 2.5 mm). The recommended dose </w:t>
            </w:r>
            <w:r w:rsidRPr="009255DB">
              <w:rPr>
                <w:rFonts w:cs="Calibri"/>
                <w:lang w:val="en-US"/>
              </w:rPr>
              <w:t>consist</w:t>
            </w:r>
            <w:r w:rsidR="0047521C" w:rsidRPr="009255DB">
              <w:rPr>
                <w:rFonts w:cs="Calibri"/>
                <w:lang w:val="en-US"/>
              </w:rPr>
              <w:t>s</w:t>
            </w:r>
            <w:r w:rsidRPr="009255DB">
              <w:rPr>
                <w:rFonts w:cs="Calibri"/>
                <w:lang w:val="en-US"/>
              </w:rPr>
              <w:t xml:space="preserve"> of four implants</w:t>
            </w:r>
            <w:r w:rsidR="003A7503" w:rsidRPr="009255DB">
              <w:rPr>
                <w:rFonts w:cs="Calibri"/>
                <w:lang w:val="en-US"/>
              </w:rPr>
              <w:t xml:space="preserve"> </w:t>
            </w:r>
            <w:r w:rsidR="0047521C" w:rsidRPr="009255DB">
              <w:rPr>
                <w:rFonts w:cs="Calibri"/>
                <w:lang w:val="en-US"/>
              </w:rPr>
              <w:t>inserted subcutaneously</w:t>
            </w:r>
            <w:r w:rsidRPr="009255DB">
              <w:rPr>
                <w:rFonts w:cs="Calibri"/>
                <w:lang w:val="en-US"/>
              </w:rPr>
              <w:t>,</w:t>
            </w:r>
            <w:r w:rsidR="0047521C" w:rsidRPr="009255DB">
              <w:rPr>
                <w:rFonts w:cs="Calibri"/>
                <w:lang w:val="en-US"/>
              </w:rPr>
              <w:t xml:space="preserve"> representing a </w:t>
            </w:r>
            <w:r w:rsidRPr="009255DB">
              <w:rPr>
                <w:rFonts w:cs="Calibri"/>
                <w:lang w:val="en-US"/>
              </w:rPr>
              <w:t>total of 320 mg of buprenorphine being implanted at once.</w:t>
            </w:r>
            <w:r w:rsidR="00B31F53" w:rsidRPr="009255DB">
              <w:rPr>
                <w:rFonts w:cs="Calibri"/>
                <w:lang w:val="en-US"/>
              </w:rPr>
              <w:t xml:space="preserve"> </w:t>
            </w:r>
            <w:proofErr w:type="spellStart"/>
            <w:r w:rsidR="00B31F53" w:rsidRPr="009255DB">
              <w:rPr>
                <w:rFonts w:cs="Calibri"/>
                <w:lang w:val="en-US"/>
              </w:rPr>
              <w:t>Sixmo</w:t>
            </w:r>
            <w:proofErr w:type="spellEnd"/>
            <w:r w:rsidR="00100517" w:rsidRPr="009255DB">
              <w:rPr>
                <w:rFonts w:cs="Calibri"/>
                <w:lang w:val="en-US"/>
              </w:rPr>
              <w:t>®</w:t>
            </w:r>
            <w:r w:rsidR="00B31F53" w:rsidRPr="009255DB">
              <w:rPr>
                <w:rFonts w:cs="Calibri"/>
                <w:lang w:val="en-US"/>
              </w:rPr>
              <w:t xml:space="preserve"> implants are intended to be in place for 6 months of treatment and provide a sustained delivery of buprenorphine.</w:t>
            </w:r>
            <w:bookmarkStart w:id="1" w:name="_Ref55246913"/>
            <w:r w:rsidR="00281A27" w:rsidRPr="009255DB">
              <w:rPr>
                <w:rStyle w:val="EndnoteReference"/>
                <w:rFonts w:cs="Calibri"/>
                <w:lang w:val="en-US"/>
              </w:rPr>
              <w:endnoteReference w:id="1"/>
            </w:r>
            <w:bookmarkEnd w:id="1"/>
          </w:p>
          <w:p w14:paraId="554B2333" w14:textId="2BC05CCD" w:rsidR="003A7503" w:rsidRPr="009255DB" w:rsidRDefault="002F6C2D" w:rsidP="00681E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255DB">
              <w:rPr>
                <w:rFonts w:cs="Calibri"/>
                <w:noProof/>
                <w:lang w:val="en-GB" w:eastAsia="en-GB" w:bidi="hi-IN"/>
              </w:rPr>
              <w:lastRenderedPageBreak/>
              <w:drawing>
                <wp:inline distT="0" distB="0" distL="0" distR="0" wp14:anchorId="6318568E" wp14:editId="5BA388B5">
                  <wp:extent cx="2381250" cy="1438275"/>
                  <wp:effectExtent l="0" t="0" r="0" b="0"/>
                  <wp:docPr id="1" name="Picture 1" descr="Probuphine® Medically Assisted Treatment Impl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uphine® Medically Assisted Treatment Impl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24ED8" w14:textId="77777777" w:rsidR="003A7503" w:rsidRPr="009255DB" w:rsidRDefault="003A7503" w:rsidP="00681E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DE77CDA" w14:textId="77777777" w:rsidR="00D806FF" w:rsidRPr="009255DB" w:rsidRDefault="00D806FF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255DB">
              <w:rPr>
                <w:rFonts w:cs="Calibri"/>
                <w:lang w:val="en-US"/>
              </w:rPr>
              <w:t xml:space="preserve">Buprenorphine is an opioid partial agonist at the µ opioid receptor and an antagonist at the kappa receptor. Mixed agonist-antagonist activity and slow rates of opioid receptor association and dissociation result in prolonged </w:t>
            </w:r>
            <w:proofErr w:type="spellStart"/>
            <w:r w:rsidRPr="009255DB">
              <w:rPr>
                <w:rFonts w:cs="Calibri"/>
                <w:lang w:val="en-US"/>
              </w:rPr>
              <w:t>pharmacodynamic</w:t>
            </w:r>
            <w:proofErr w:type="spellEnd"/>
            <w:r w:rsidRPr="009255DB">
              <w:rPr>
                <w:rFonts w:cs="Calibri"/>
                <w:lang w:val="en-US"/>
              </w:rPr>
              <w:t xml:space="preserve"> activity and low dependence liability. As a partial µ receptor agonist with low intrinsic activity, buprenorphine exhibits a “ceiling effect” such that the opioid effects of buprenorphine plateau at higher doses.</w:t>
            </w:r>
            <w:r w:rsidR="00281A27" w:rsidRPr="009255DB">
              <w:rPr>
                <w:rStyle w:val="EndnoteReference"/>
                <w:rFonts w:cs="Calibri"/>
                <w:lang w:val="en-US"/>
              </w:rPr>
              <w:endnoteReference w:id="2"/>
            </w:r>
          </w:p>
          <w:p w14:paraId="04AD7C82" w14:textId="77777777" w:rsidR="00D806FF" w:rsidRPr="009255DB" w:rsidRDefault="00D806FF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14:paraId="0E8E3B61" w14:textId="77777777" w:rsidR="001F3720" w:rsidRPr="009255DB" w:rsidRDefault="001F3720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255DB">
              <w:rPr>
                <w:rFonts w:cs="Calibri"/>
                <w:lang w:val="en-US"/>
              </w:rPr>
              <w:t xml:space="preserve">The adoption of the Pro </w:t>
            </w:r>
            <w:proofErr w:type="spellStart"/>
            <w:r w:rsidRPr="009255DB">
              <w:rPr>
                <w:rFonts w:cs="Calibri"/>
                <w:lang w:val="en-US"/>
              </w:rPr>
              <w:t>Neura</w:t>
            </w:r>
            <w:proofErr w:type="spellEnd"/>
            <w:r w:rsidRPr="009255DB">
              <w:rPr>
                <w:rFonts w:cs="Calibri"/>
                <w:lang w:val="en-US"/>
              </w:rPr>
              <w:t xml:space="preserve">™ </w:t>
            </w:r>
            <w:r w:rsidR="00281A27" w:rsidRPr="009255DB">
              <w:rPr>
                <w:rFonts w:cs="Calibri"/>
                <w:lang w:val="en-US"/>
              </w:rPr>
              <w:t xml:space="preserve">drug delivery system </w:t>
            </w:r>
            <w:r w:rsidRPr="009255DB">
              <w:rPr>
                <w:rFonts w:cs="Calibri"/>
                <w:lang w:val="en-US"/>
              </w:rPr>
              <w:t xml:space="preserve">in </w:t>
            </w:r>
            <w:proofErr w:type="spellStart"/>
            <w:r w:rsidRPr="009255DB">
              <w:rPr>
                <w:rFonts w:cs="Calibri"/>
                <w:lang w:val="en-US"/>
              </w:rPr>
              <w:t>Sixmo</w:t>
            </w:r>
            <w:proofErr w:type="spellEnd"/>
            <w:r w:rsidRPr="009255DB">
              <w:rPr>
                <w:rFonts w:cs="Calibri"/>
                <w:vertAlign w:val="superscript"/>
                <w:lang w:val="en-US"/>
              </w:rPr>
              <w:t>®</w:t>
            </w:r>
            <w:r w:rsidRPr="009255DB">
              <w:rPr>
                <w:rFonts w:cs="Calibri"/>
                <w:lang w:val="en-US"/>
              </w:rPr>
              <w:t xml:space="preserve"> </w:t>
            </w:r>
            <w:r w:rsidR="00281A27" w:rsidRPr="009255DB">
              <w:rPr>
                <w:rFonts w:cs="Calibri"/>
                <w:lang w:val="en-US"/>
              </w:rPr>
              <w:t xml:space="preserve">delivers buprenorphine in a </w:t>
            </w:r>
            <w:r w:rsidRPr="009255DB">
              <w:rPr>
                <w:rFonts w:cs="Calibri"/>
                <w:lang w:val="en-US"/>
              </w:rPr>
              <w:t xml:space="preserve">continuous release for up to six months, without the peak-and-trough levels that </w:t>
            </w:r>
            <w:r w:rsidR="00730A3E" w:rsidRPr="009255DB">
              <w:rPr>
                <w:rFonts w:cs="Calibri"/>
                <w:lang w:val="en-US"/>
              </w:rPr>
              <w:t xml:space="preserve">are associated </w:t>
            </w:r>
            <w:r w:rsidRPr="009255DB">
              <w:rPr>
                <w:rFonts w:cs="Calibri"/>
                <w:lang w:val="en-US"/>
              </w:rPr>
              <w:t>with oral dosing.</w:t>
            </w:r>
            <w:bookmarkStart w:id="2" w:name="_Ref55249958"/>
            <w:r w:rsidR="00281A27" w:rsidRPr="009255DB">
              <w:rPr>
                <w:rStyle w:val="EndnoteReference"/>
                <w:rFonts w:cs="Calibri"/>
                <w:lang w:val="en-US"/>
              </w:rPr>
              <w:endnoteReference w:id="3"/>
            </w:r>
            <w:bookmarkEnd w:id="2"/>
          </w:p>
          <w:p w14:paraId="0188BBE7" w14:textId="77777777" w:rsidR="00C517FD" w:rsidRPr="009255DB" w:rsidRDefault="00C517FD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14:paraId="759D4137" w14:textId="77777777" w:rsidR="001F3720" w:rsidRPr="009255DB" w:rsidRDefault="001F3720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255DB">
              <w:rPr>
                <w:rFonts w:cs="Calibri"/>
                <w:lang w:val="en-US"/>
              </w:rPr>
              <w:t xml:space="preserve">The Pro </w:t>
            </w:r>
            <w:proofErr w:type="spellStart"/>
            <w:r w:rsidRPr="009255DB">
              <w:rPr>
                <w:rFonts w:cs="Calibri"/>
                <w:lang w:val="en-US"/>
              </w:rPr>
              <w:t>Neura</w:t>
            </w:r>
            <w:proofErr w:type="spellEnd"/>
            <w:r w:rsidRPr="009255DB">
              <w:rPr>
                <w:rFonts w:cs="Calibri"/>
                <w:lang w:val="en-US"/>
              </w:rPr>
              <w:t>™ technology consists in a matchstick sized solid rod made from a mixture of ethylene-vinyl acetate (EVA) and the drug substance.</w:t>
            </w:r>
            <w:r w:rsidR="00DD4A5B" w:rsidRPr="009255DB">
              <w:rPr>
                <w:rStyle w:val="EndnoteReference"/>
                <w:rFonts w:cs="Calibri"/>
                <w:lang w:val="en-US"/>
              </w:rPr>
              <w:endnoteReference w:id="4"/>
            </w:r>
            <w:r w:rsidRPr="009255DB">
              <w:rPr>
                <w:rFonts w:cs="Calibri"/>
                <w:lang w:val="en-US"/>
              </w:rPr>
              <w:t xml:space="preserve"> The resulting product is a solid matrix that is implanted subcutaneously, normally in the inner part of the arm with a simple surgical procedure and is removed in a similar way at the end of the treatment period.</w:t>
            </w:r>
          </w:p>
          <w:p w14:paraId="2CDBD2F1" w14:textId="77777777" w:rsidR="00C517FD" w:rsidRPr="009255DB" w:rsidRDefault="00C517FD" w:rsidP="00681EC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14:paraId="08384597" w14:textId="77777777" w:rsidR="00826CDB" w:rsidRPr="00681ECD" w:rsidRDefault="00C517FD" w:rsidP="00681ECD">
            <w:pPr>
              <w:spacing w:after="0" w:line="240" w:lineRule="auto"/>
              <w:jc w:val="both"/>
              <w:rPr>
                <w:rFonts w:cs="Calibri"/>
                <w:highlight w:val="cyan"/>
                <w:lang w:val="en-US"/>
              </w:rPr>
            </w:pPr>
            <w:proofErr w:type="spellStart"/>
            <w:r w:rsidRPr="009255DB">
              <w:rPr>
                <w:rFonts w:cs="Calibri"/>
                <w:lang w:val="en-US"/>
              </w:rPr>
              <w:t>Sixmo</w:t>
            </w:r>
            <w:proofErr w:type="spellEnd"/>
            <w:r w:rsidRPr="009255DB">
              <w:rPr>
                <w:rFonts w:cs="Calibri"/>
                <w:vertAlign w:val="superscript"/>
                <w:lang w:val="en-US"/>
              </w:rPr>
              <w:t>®</w:t>
            </w:r>
            <w:r w:rsidRPr="009255DB">
              <w:rPr>
                <w:rFonts w:cs="Calibri"/>
                <w:lang w:val="en-US"/>
              </w:rPr>
              <w:t xml:space="preserve"> implants are intended to be in place for 6 months of treatment and provide a sustained delivery of buprenorphine. They are removed by the end of the sixth month. If continued treatment is desired at the end of the first six-month treatment cycle, a new set of 4 </w:t>
            </w:r>
            <w:proofErr w:type="spellStart"/>
            <w:r w:rsidRPr="009255DB">
              <w:rPr>
                <w:rFonts w:cs="Calibri"/>
                <w:lang w:val="en-US"/>
              </w:rPr>
              <w:t>Sixmo</w:t>
            </w:r>
            <w:proofErr w:type="spellEnd"/>
            <w:r w:rsidRPr="009255DB">
              <w:rPr>
                <w:rFonts w:cs="Calibri"/>
                <w:vertAlign w:val="superscript"/>
                <w:lang w:val="en-US"/>
              </w:rPr>
              <w:t>®</w:t>
            </w:r>
            <w:r w:rsidRPr="009255DB">
              <w:rPr>
                <w:rFonts w:cs="Calibri"/>
                <w:lang w:val="en-US"/>
              </w:rPr>
              <w:t xml:space="preserve"> implants may be administered following removal of the old implants for one additional treatment cycle of six months.</w:t>
            </w:r>
            <w:bookmarkEnd w:id="0"/>
            <w:r w:rsidR="00384529" w:rsidRPr="009255DB">
              <w:rPr>
                <w:rFonts w:cs="Calibri"/>
                <w:vertAlign w:val="superscript"/>
                <w:lang w:val="en-US"/>
              </w:rPr>
              <w:fldChar w:fldCharType="begin"/>
            </w:r>
            <w:r w:rsidR="00585C27" w:rsidRPr="009255DB">
              <w:rPr>
                <w:rFonts w:cs="Calibri"/>
                <w:vertAlign w:val="superscript"/>
                <w:lang w:val="en-US"/>
              </w:rPr>
              <w:instrText xml:space="preserve"> NOTEREF _Ref55246913 \h  \* MERGEFORMAT </w:instrText>
            </w:r>
            <w:r w:rsidR="00384529" w:rsidRPr="009255DB">
              <w:rPr>
                <w:rFonts w:cs="Calibri"/>
                <w:vertAlign w:val="superscript"/>
                <w:lang w:val="en-US"/>
              </w:rPr>
            </w:r>
            <w:r w:rsidR="00384529" w:rsidRPr="009255DB">
              <w:rPr>
                <w:rFonts w:cs="Calibri"/>
                <w:vertAlign w:val="superscript"/>
                <w:lang w:val="en-US"/>
              </w:rPr>
              <w:fldChar w:fldCharType="separate"/>
            </w:r>
            <w:r w:rsidR="00585C27" w:rsidRPr="009255DB">
              <w:rPr>
                <w:rFonts w:cs="Calibri"/>
                <w:vertAlign w:val="superscript"/>
                <w:lang w:val="en-US"/>
              </w:rPr>
              <w:t>1</w:t>
            </w:r>
            <w:r w:rsidR="00384529" w:rsidRPr="009255DB">
              <w:rPr>
                <w:rFonts w:cs="Calibri"/>
                <w:vertAlign w:val="superscript"/>
                <w:lang w:val="en-US"/>
              </w:rPr>
              <w:fldChar w:fldCharType="end"/>
            </w:r>
          </w:p>
        </w:tc>
      </w:tr>
    </w:tbl>
    <w:p w14:paraId="2F49E245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407A2DFC" w14:textId="77777777" w:rsidR="00C354DD" w:rsidRDefault="00C354DD" w:rsidP="003E11D8">
      <w:pPr>
        <w:rPr>
          <w:b/>
        </w:rPr>
      </w:pPr>
      <w:proofErr w:type="spellStart"/>
      <w:r w:rsidRPr="00C354DD">
        <w:rPr>
          <w:b/>
        </w:rPr>
        <w:t>Nærmere</w:t>
      </w:r>
      <w:proofErr w:type="spellEnd"/>
      <w:r w:rsidRPr="00C354DD">
        <w:rPr>
          <w:b/>
        </w:rPr>
        <w:t xml:space="preserve"> </w:t>
      </w:r>
      <w:proofErr w:type="spellStart"/>
      <w:r w:rsidRPr="00C354DD">
        <w:rPr>
          <w:b/>
        </w:rPr>
        <w:t>informasjon</w:t>
      </w:r>
      <w:proofErr w:type="spellEnd"/>
      <w:r w:rsidRPr="00C354DD">
        <w:rPr>
          <w:b/>
        </w:rPr>
        <w:t xml:space="preserve"> </w:t>
      </w:r>
      <w:proofErr w:type="spellStart"/>
      <w:r w:rsidRPr="00C354DD">
        <w:rPr>
          <w:b/>
        </w:rPr>
        <w:t>om</w:t>
      </w:r>
      <w:proofErr w:type="spellEnd"/>
      <w:r w:rsidRPr="00C354DD">
        <w:rPr>
          <w:b/>
        </w:rPr>
        <w:t xml:space="preserve"> </w:t>
      </w:r>
      <w:proofErr w:type="spellStart"/>
      <w:r w:rsidRPr="00C354DD">
        <w:rPr>
          <w:b/>
        </w:rPr>
        <w:t>metoden</w:t>
      </w:r>
      <w:proofErr w:type="spellEnd"/>
      <w:r w:rsidR="002879D8">
        <w:rPr>
          <w:b/>
        </w:rPr>
        <w:t xml:space="preserve"> </w:t>
      </w:r>
      <w:proofErr w:type="spellStart"/>
      <w:r w:rsidR="002879D8">
        <w:rPr>
          <w:b/>
        </w:rPr>
        <w:t>og</w:t>
      </w:r>
      <w:proofErr w:type="spellEnd"/>
      <w:r w:rsidR="002879D8">
        <w:rPr>
          <w:b/>
        </w:rPr>
        <w:t xml:space="preserve"> </w:t>
      </w:r>
      <w:proofErr w:type="spellStart"/>
      <w:r w:rsidR="002879D8">
        <w:rPr>
          <w:b/>
        </w:rPr>
        <w:t>innspill</w:t>
      </w:r>
      <w:proofErr w:type="spellEnd"/>
      <w:r w:rsidR="002879D8">
        <w:rPr>
          <w:b/>
        </w:rPr>
        <w:t xml:space="preserve"> </w:t>
      </w:r>
      <w:proofErr w:type="spellStart"/>
      <w:r w:rsidR="002879D8">
        <w:rPr>
          <w:b/>
        </w:rPr>
        <w:t>til</w:t>
      </w:r>
      <w:proofErr w:type="spellEnd"/>
      <w:r w:rsidR="002879D8">
        <w:rPr>
          <w:b/>
        </w:rPr>
        <w:t xml:space="preserve"> PICO</w:t>
      </w:r>
      <w:r w:rsidR="00702941">
        <w:rPr>
          <w:b/>
        </w:rPr>
        <w:t>*</w:t>
      </w:r>
    </w:p>
    <w:p w14:paraId="473D03DD" w14:textId="13DB23AD" w:rsidR="002833D7" w:rsidRPr="00B86B26" w:rsidRDefault="00B86B26" w:rsidP="002833D7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</w:t>
      </w:r>
      <w:proofErr w:type="spellStart"/>
      <w:r w:rsidRPr="00D1082E">
        <w:rPr>
          <w:sz w:val="16"/>
          <w:szCs w:val="16"/>
        </w:rPr>
        <w:t>er</w:t>
      </w:r>
      <w:proofErr w:type="spellEnd"/>
      <w:r w:rsidRPr="00D1082E">
        <w:rPr>
          <w:sz w:val="16"/>
          <w:szCs w:val="16"/>
        </w:rPr>
        <w:t xml:space="preserve"> et </w:t>
      </w:r>
      <w:proofErr w:type="spellStart"/>
      <w:r w:rsidRPr="00D1082E">
        <w:rPr>
          <w:sz w:val="16"/>
          <w:szCs w:val="16"/>
        </w:rPr>
        <w:t>verktøy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for</w:t>
      </w:r>
      <w:proofErr w:type="spellEnd"/>
      <w:r w:rsidRPr="00D1082E">
        <w:rPr>
          <w:sz w:val="16"/>
          <w:szCs w:val="16"/>
        </w:rPr>
        <w:t xml:space="preserve"> å </w:t>
      </w:r>
      <w:proofErr w:type="spellStart"/>
      <w:r w:rsidRPr="00D1082E">
        <w:rPr>
          <w:sz w:val="16"/>
          <w:szCs w:val="16"/>
        </w:rPr>
        <w:t>formulere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presise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problemstillinger</w:t>
      </w:r>
      <w:proofErr w:type="spellEnd"/>
      <w:r w:rsidRPr="00D1082E">
        <w:rPr>
          <w:sz w:val="16"/>
          <w:szCs w:val="16"/>
        </w:rPr>
        <w:t xml:space="preserve"> i </w:t>
      </w:r>
      <w:proofErr w:type="spellStart"/>
      <w:r w:rsidRPr="00D1082E">
        <w:rPr>
          <w:sz w:val="16"/>
          <w:szCs w:val="16"/>
        </w:rPr>
        <w:t>metodevurderingsarbeid</w:t>
      </w:r>
      <w:proofErr w:type="spellEnd"/>
      <w:r w:rsidRPr="00D1082E">
        <w:rPr>
          <w:sz w:val="16"/>
          <w:szCs w:val="16"/>
        </w:rPr>
        <w:t xml:space="preserve">. PICO </w:t>
      </w:r>
      <w:proofErr w:type="spellStart"/>
      <w:r w:rsidRPr="00D1082E">
        <w:rPr>
          <w:sz w:val="16"/>
          <w:szCs w:val="16"/>
        </w:rPr>
        <w:t>er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en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forkortelse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for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>/</w:t>
      </w:r>
      <w:proofErr w:type="spellStart"/>
      <w:r w:rsidRPr="00D1082E">
        <w:rPr>
          <w:sz w:val="16"/>
          <w:szCs w:val="16"/>
        </w:rPr>
        <w:t>Problem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 xml:space="preserve">. PICO </w:t>
      </w:r>
      <w:proofErr w:type="spellStart"/>
      <w:r w:rsidRPr="00D1082E">
        <w:rPr>
          <w:sz w:val="16"/>
          <w:szCs w:val="16"/>
        </w:rPr>
        <w:t>brukes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til</w:t>
      </w:r>
      <w:proofErr w:type="spellEnd"/>
      <w:r w:rsidRPr="00D1082E">
        <w:rPr>
          <w:sz w:val="16"/>
          <w:szCs w:val="16"/>
        </w:rPr>
        <w:t xml:space="preserve"> å </w:t>
      </w:r>
      <w:proofErr w:type="spellStart"/>
      <w:r w:rsidRPr="00D1082E">
        <w:rPr>
          <w:sz w:val="16"/>
          <w:szCs w:val="16"/>
        </w:rPr>
        <w:t>presisere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hvilken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populasjon</w:t>
      </w:r>
      <w:proofErr w:type="spellEnd"/>
      <w:r w:rsidRPr="00D1082E">
        <w:rPr>
          <w:sz w:val="16"/>
          <w:szCs w:val="16"/>
        </w:rPr>
        <w:t>/</w:t>
      </w:r>
      <w:proofErr w:type="spellStart"/>
      <w:r w:rsidRPr="00D1082E">
        <w:rPr>
          <w:sz w:val="16"/>
          <w:szCs w:val="16"/>
        </w:rPr>
        <w:t>problem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som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skal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studeres</w:t>
      </w:r>
      <w:proofErr w:type="spellEnd"/>
      <w:r w:rsidRPr="00D1082E">
        <w:rPr>
          <w:sz w:val="16"/>
          <w:szCs w:val="16"/>
        </w:rPr>
        <w:t xml:space="preserve">, </w:t>
      </w:r>
      <w:proofErr w:type="spellStart"/>
      <w:r w:rsidRPr="00D1082E">
        <w:rPr>
          <w:sz w:val="16"/>
          <w:szCs w:val="16"/>
        </w:rPr>
        <w:t>hvilke</w:t>
      </w:r>
      <w:proofErr w:type="spellEnd"/>
      <w:r w:rsidRPr="00D1082E">
        <w:rPr>
          <w:sz w:val="16"/>
          <w:szCs w:val="16"/>
        </w:rPr>
        <w:t xml:space="preserve">(t) </w:t>
      </w:r>
      <w:proofErr w:type="spellStart"/>
      <w:r w:rsidRPr="00D1082E">
        <w:rPr>
          <w:sz w:val="16"/>
          <w:szCs w:val="16"/>
        </w:rPr>
        <w:t>tiltak</w:t>
      </w:r>
      <w:proofErr w:type="spellEnd"/>
      <w:r w:rsidRPr="00D1082E">
        <w:rPr>
          <w:sz w:val="16"/>
          <w:szCs w:val="16"/>
        </w:rPr>
        <w:t xml:space="preserve"> (metode/</w:t>
      </w:r>
      <w:proofErr w:type="spellStart"/>
      <w:r w:rsidRPr="00D1082E">
        <w:rPr>
          <w:sz w:val="16"/>
          <w:szCs w:val="16"/>
        </w:rPr>
        <w:t>behandling</w:t>
      </w:r>
      <w:proofErr w:type="spellEnd"/>
      <w:r w:rsidRPr="00D1082E">
        <w:rPr>
          <w:sz w:val="16"/>
          <w:szCs w:val="16"/>
        </w:rPr>
        <w:t xml:space="preserve">) </w:t>
      </w:r>
      <w:proofErr w:type="spellStart"/>
      <w:r w:rsidRPr="00D1082E">
        <w:rPr>
          <w:sz w:val="16"/>
          <w:szCs w:val="16"/>
        </w:rPr>
        <w:t>som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skal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vurderes</w:t>
      </w:r>
      <w:proofErr w:type="spellEnd"/>
      <w:r w:rsidRPr="00D1082E">
        <w:rPr>
          <w:sz w:val="16"/>
          <w:szCs w:val="16"/>
        </w:rPr>
        <w:t xml:space="preserve">, </w:t>
      </w:r>
      <w:proofErr w:type="spellStart"/>
      <w:r w:rsidRPr="00D1082E">
        <w:rPr>
          <w:sz w:val="16"/>
          <w:szCs w:val="16"/>
        </w:rPr>
        <w:t>hvilket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tiltak</w:t>
      </w:r>
      <w:proofErr w:type="spellEnd"/>
      <w:r w:rsidRPr="00D1082E">
        <w:rPr>
          <w:strike/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det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er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naturlig</w:t>
      </w:r>
      <w:proofErr w:type="spellEnd"/>
      <w:r w:rsidRPr="00D1082E">
        <w:rPr>
          <w:sz w:val="16"/>
          <w:szCs w:val="16"/>
        </w:rPr>
        <w:t xml:space="preserve"> å </w:t>
      </w:r>
      <w:proofErr w:type="spellStart"/>
      <w:r w:rsidRPr="00D1082E">
        <w:rPr>
          <w:sz w:val="16"/>
          <w:szCs w:val="16"/>
        </w:rPr>
        <w:t>sammenligne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med</w:t>
      </w:r>
      <w:proofErr w:type="spellEnd"/>
      <w:r w:rsidRPr="00D1082E">
        <w:rPr>
          <w:sz w:val="16"/>
          <w:szCs w:val="16"/>
        </w:rPr>
        <w:t xml:space="preserve">, </w:t>
      </w:r>
      <w:proofErr w:type="spellStart"/>
      <w:r w:rsidRPr="00D1082E">
        <w:rPr>
          <w:sz w:val="16"/>
          <w:szCs w:val="16"/>
        </w:rPr>
        <w:t>og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hvilke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utfall</w:t>
      </w:r>
      <w:proofErr w:type="spellEnd"/>
      <w:r w:rsidRPr="00D1082E">
        <w:rPr>
          <w:sz w:val="16"/>
          <w:szCs w:val="16"/>
        </w:rPr>
        <w:t>/</w:t>
      </w:r>
      <w:proofErr w:type="spellStart"/>
      <w:r w:rsidRPr="00D1082E">
        <w:rPr>
          <w:sz w:val="16"/>
          <w:szCs w:val="16"/>
        </w:rPr>
        <w:t>endepunkter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det</w:t>
      </w:r>
      <w:proofErr w:type="spellEnd"/>
      <w:r w:rsidRPr="00D1082E">
        <w:rPr>
          <w:sz w:val="16"/>
          <w:szCs w:val="16"/>
        </w:rPr>
        <w:t xml:space="preserve">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er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relevant</w:t>
      </w:r>
      <w:proofErr w:type="spellEnd"/>
      <w:r w:rsidRPr="00D1082E">
        <w:rPr>
          <w:sz w:val="16"/>
          <w:szCs w:val="16"/>
        </w:rPr>
        <w:t xml:space="preserve"> å </w:t>
      </w:r>
      <w:proofErr w:type="spellStart"/>
      <w:r w:rsidRPr="00D1082E">
        <w:rPr>
          <w:sz w:val="16"/>
          <w:szCs w:val="16"/>
        </w:rPr>
        <w:t>måle</w:t>
      </w:r>
      <w:proofErr w:type="spellEnd"/>
      <w:r w:rsidRPr="00D1082E">
        <w:rPr>
          <w:sz w:val="16"/>
          <w:szCs w:val="16"/>
        </w:rPr>
        <w:t>/</w:t>
      </w:r>
      <w:proofErr w:type="spellStart"/>
      <w:r w:rsidRPr="00D1082E">
        <w:rPr>
          <w:sz w:val="16"/>
          <w:szCs w:val="16"/>
        </w:rPr>
        <w:t>vurdere</w:t>
      </w:r>
      <w:proofErr w:type="spellEnd"/>
      <w:r w:rsidRPr="00D1082E">
        <w:rPr>
          <w:sz w:val="16"/>
          <w:szCs w:val="16"/>
        </w:rPr>
        <w:t xml:space="preserve">. PICO </w:t>
      </w:r>
      <w:proofErr w:type="spellStart"/>
      <w:r w:rsidRPr="00D1082E">
        <w:rPr>
          <w:sz w:val="16"/>
          <w:szCs w:val="16"/>
        </w:rPr>
        <w:t>er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viktig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for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planlegging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og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gjennomføring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av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en</w:t>
      </w:r>
      <w:proofErr w:type="spellEnd"/>
      <w:r w:rsidRPr="00D1082E">
        <w:rPr>
          <w:sz w:val="16"/>
          <w:szCs w:val="16"/>
        </w:rPr>
        <w:t xml:space="preserve"> </w:t>
      </w:r>
      <w:proofErr w:type="spellStart"/>
      <w:r w:rsidRPr="00D1082E">
        <w:rPr>
          <w:sz w:val="16"/>
          <w:szCs w:val="16"/>
        </w:rPr>
        <w:t>metodevurdering</w:t>
      </w:r>
      <w:proofErr w:type="spellEnd"/>
      <w:r w:rsidRPr="00D1082E">
        <w:rPr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E11D8" w:rsidRPr="00681ECD" w14:paraId="09DF1D49" w14:textId="77777777" w:rsidTr="00681ECD">
        <w:tc>
          <w:tcPr>
            <w:tcW w:w="8784" w:type="dxa"/>
            <w:shd w:val="clear" w:color="auto" w:fill="auto"/>
          </w:tcPr>
          <w:p w14:paraId="0514CBE7" w14:textId="31147955" w:rsidR="0075491C" w:rsidRPr="00681ECD" w:rsidRDefault="00702941" w:rsidP="009255DB">
            <w:pPr>
              <w:pStyle w:val="Heading3"/>
              <w:spacing w:after="240" w:line="240" w:lineRule="auto"/>
              <w:jc w:val="both"/>
            </w:pPr>
            <w:r w:rsidRPr="00681ECD">
              <w:rPr>
                <w:color w:val="auto"/>
              </w:rPr>
              <w:t>4</w:t>
            </w:r>
            <w:r w:rsidR="00CE205A" w:rsidRPr="00681ECD">
              <w:rPr>
                <w:color w:val="auto"/>
              </w:rPr>
              <w:t xml:space="preserve">. </w:t>
            </w:r>
            <w:proofErr w:type="spellStart"/>
            <w:r w:rsidR="00CE205A" w:rsidRPr="00681ECD">
              <w:rPr>
                <w:color w:val="auto"/>
              </w:rPr>
              <w:t>Kjenner</w:t>
            </w:r>
            <w:proofErr w:type="spellEnd"/>
            <w:r w:rsidR="00CE205A" w:rsidRPr="00681ECD">
              <w:rPr>
                <w:color w:val="auto"/>
              </w:rPr>
              <w:t xml:space="preserve"> du </w:t>
            </w:r>
            <w:proofErr w:type="spellStart"/>
            <w:r w:rsidR="00CE205A" w:rsidRPr="00681ECD">
              <w:rPr>
                <w:color w:val="auto"/>
              </w:rPr>
              <w:t>til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4C5BF6" w:rsidRPr="00681ECD">
              <w:rPr>
                <w:color w:val="auto"/>
              </w:rPr>
              <w:t>om</w:t>
            </w:r>
            <w:proofErr w:type="spellEnd"/>
            <w:r w:rsidR="004C5BF6" w:rsidRPr="00681ECD">
              <w:rPr>
                <w:color w:val="auto"/>
              </w:rPr>
              <w:t xml:space="preserve"> </w:t>
            </w:r>
            <w:proofErr w:type="spellStart"/>
            <w:r w:rsidR="003E11D8" w:rsidRPr="00681ECD">
              <w:rPr>
                <w:color w:val="auto"/>
              </w:rPr>
              <w:t>metoden</w:t>
            </w:r>
            <w:proofErr w:type="spellEnd"/>
            <w:r w:rsidR="00CE205A" w:rsidRPr="00681ECD">
              <w:rPr>
                <w:color w:val="auto"/>
              </w:rPr>
              <w:t xml:space="preserve"> </w:t>
            </w:r>
            <w:proofErr w:type="spellStart"/>
            <w:r w:rsidR="00CE205A" w:rsidRPr="00681ECD">
              <w:rPr>
                <w:color w:val="auto"/>
              </w:rPr>
              <w:t>er</w:t>
            </w:r>
            <w:proofErr w:type="spellEnd"/>
            <w:r w:rsidR="00CE205A" w:rsidRPr="00681ECD">
              <w:rPr>
                <w:color w:val="auto"/>
              </w:rPr>
              <w:t xml:space="preserve"> i bruk</w:t>
            </w:r>
            <w:r w:rsidR="003E11D8" w:rsidRPr="00681ECD">
              <w:rPr>
                <w:color w:val="auto"/>
              </w:rPr>
              <w:t xml:space="preserve"> i </w:t>
            </w:r>
            <w:proofErr w:type="spellStart"/>
            <w:r w:rsidR="003E11D8" w:rsidRPr="00681ECD">
              <w:rPr>
                <w:color w:val="auto"/>
              </w:rPr>
              <w:t>Norge</w:t>
            </w:r>
            <w:proofErr w:type="spellEnd"/>
            <w:r w:rsidR="003E11D8" w:rsidRPr="00681ECD">
              <w:rPr>
                <w:color w:val="auto"/>
              </w:rPr>
              <w:t xml:space="preserve"> i dag?</w:t>
            </w:r>
            <w:r w:rsidR="003E11D8" w:rsidRPr="00681ECD">
              <w:t xml:space="preserve"> </w:t>
            </w:r>
          </w:p>
        </w:tc>
      </w:tr>
      <w:tr w:rsidR="003E11D8" w:rsidRPr="00681ECD" w14:paraId="4D53DF77" w14:textId="77777777" w:rsidTr="00681ECD">
        <w:trPr>
          <w:trHeight w:val="859"/>
        </w:trPr>
        <w:tc>
          <w:tcPr>
            <w:tcW w:w="8784" w:type="dxa"/>
            <w:shd w:val="clear" w:color="auto" w:fill="auto"/>
          </w:tcPr>
          <w:p w14:paraId="10BD225F" w14:textId="75302C01" w:rsidR="0075491C" w:rsidRPr="009255DB" w:rsidRDefault="005079D3" w:rsidP="00681ECD">
            <w:pPr>
              <w:spacing w:after="0" w:line="240" w:lineRule="auto"/>
            </w:pPr>
            <w:proofErr w:type="spellStart"/>
            <w:r w:rsidRPr="00681ECD">
              <w:t>Er</w:t>
            </w:r>
            <w:proofErr w:type="spellEnd"/>
            <w:r w:rsidR="003E11D8" w:rsidRPr="00681ECD">
              <w:t xml:space="preserve"> </w:t>
            </w:r>
            <w:proofErr w:type="spellStart"/>
            <w:r w:rsidRPr="009255DB">
              <w:t>metoden</w:t>
            </w:r>
            <w:proofErr w:type="spellEnd"/>
            <w:r w:rsidRPr="009255DB">
              <w:t xml:space="preserve"> </w:t>
            </w:r>
            <w:r w:rsidR="003E11D8" w:rsidRPr="009255DB">
              <w:t>i bruk</w:t>
            </w:r>
            <w:r w:rsidRPr="009255DB">
              <w:t xml:space="preserve"> </w:t>
            </w:r>
            <w:proofErr w:type="spellStart"/>
            <w:r w:rsidR="004C5BF6" w:rsidRPr="009255DB">
              <w:t>utenom</w:t>
            </w:r>
            <w:proofErr w:type="spellEnd"/>
            <w:r w:rsidR="004C5BF6" w:rsidRPr="009255DB">
              <w:t xml:space="preserve"> </w:t>
            </w:r>
            <w:proofErr w:type="spellStart"/>
            <w:r w:rsidR="004C5BF6" w:rsidRPr="009255DB">
              <w:t>kliniske</w:t>
            </w:r>
            <w:proofErr w:type="spellEnd"/>
            <w:r w:rsidR="004C5BF6" w:rsidRPr="009255DB">
              <w:t xml:space="preserve"> </w:t>
            </w:r>
            <w:proofErr w:type="spellStart"/>
            <w:r w:rsidR="004C5BF6" w:rsidRPr="009255DB">
              <w:t>studier</w:t>
            </w:r>
            <w:proofErr w:type="spellEnd"/>
            <w:r w:rsidR="004C5BF6" w:rsidRPr="009255DB">
              <w:t xml:space="preserve"> </w:t>
            </w:r>
            <w:r w:rsidRPr="009255DB">
              <w:t>i dag</w:t>
            </w:r>
            <w:r w:rsidR="003E11D8" w:rsidRPr="009255DB">
              <w:t>:</w:t>
            </w:r>
            <w:r w:rsidR="00C517FD" w:rsidRPr="009255DB">
              <w:t xml:space="preserve"> </w:t>
            </w:r>
            <w:proofErr w:type="spellStart"/>
            <w:r w:rsidR="0004473E">
              <w:t>No</w:t>
            </w:r>
            <w:proofErr w:type="spellEnd"/>
          </w:p>
          <w:p w14:paraId="1A3A07A0" w14:textId="1D0866D2" w:rsidR="009C3627" w:rsidRPr="009255DB" w:rsidRDefault="005079D3" w:rsidP="00681ECD">
            <w:pPr>
              <w:spacing w:after="0" w:line="240" w:lineRule="auto"/>
            </w:pPr>
            <w:proofErr w:type="spellStart"/>
            <w:r w:rsidRPr="009255DB">
              <w:t>Fra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hvilket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tidspunkt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har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den</w:t>
            </w:r>
            <w:proofErr w:type="spellEnd"/>
            <w:r w:rsidR="003E11D8" w:rsidRPr="009255DB">
              <w:t xml:space="preserve"> </w:t>
            </w:r>
            <w:proofErr w:type="spellStart"/>
            <w:r w:rsidR="003E11D8" w:rsidRPr="009255DB">
              <w:t>vært</w:t>
            </w:r>
            <w:proofErr w:type="spellEnd"/>
            <w:r w:rsidR="003E11D8" w:rsidRPr="009255DB">
              <w:t xml:space="preserve"> i bruk:</w:t>
            </w:r>
            <w:r w:rsidR="009255DB" w:rsidRPr="009255DB">
              <w:t xml:space="preserve"> </w:t>
            </w:r>
            <w:proofErr w:type="spellStart"/>
            <w:r w:rsidR="009255DB" w:rsidRPr="009255DB">
              <w:t>not</w:t>
            </w:r>
            <w:proofErr w:type="spellEnd"/>
            <w:r w:rsidR="009255DB" w:rsidRPr="009255DB">
              <w:t xml:space="preserve"> </w:t>
            </w:r>
            <w:proofErr w:type="spellStart"/>
            <w:r w:rsidR="009255DB" w:rsidRPr="009255DB">
              <w:t>applicable</w:t>
            </w:r>
            <w:proofErr w:type="spellEnd"/>
          </w:p>
          <w:p w14:paraId="1257CCAE" w14:textId="2414C260" w:rsidR="009C3627" w:rsidRPr="00681ECD" w:rsidRDefault="00C81243" w:rsidP="00681ECD">
            <w:pPr>
              <w:spacing w:after="0" w:line="240" w:lineRule="auto"/>
            </w:pPr>
            <w:proofErr w:type="spellStart"/>
            <w:r w:rsidRPr="009255DB">
              <w:t>Hvor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er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eventuelt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metoden</w:t>
            </w:r>
            <w:proofErr w:type="spellEnd"/>
            <w:r w:rsidR="005079D3" w:rsidRPr="009255DB">
              <w:t xml:space="preserve"> i bruk:</w:t>
            </w:r>
            <w:r w:rsidR="0004473E">
              <w:t xml:space="preserve"> </w:t>
            </w:r>
            <w:proofErr w:type="spellStart"/>
            <w:r w:rsidR="000F5697" w:rsidRPr="009255DB">
              <w:t>Licensed</w:t>
            </w:r>
            <w:proofErr w:type="spellEnd"/>
            <w:r w:rsidR="000F5697" w:rsidRPr="009255DB">
              <w:t xml:space="preserve"> </w:t>
            </w:r>
            <w:proofErr w:type="spellStart"/>
            <w:r w:rsidR="000F5697" w:rsidRPr="009255DB">
              <w:t>in</w:t>
            </w:r>
            <w:proofErr w:type="spellEnd"/>
            <w:r w:rsidR="000F5697" w:rsidRPr="009255DB">
              <w:t xml:space="preserve"> the USA and </w:t>
            </w:r>
            <w:proofErr w:type="spellStart"/>
            <w:r w:rsidR="000F5697" w:rsidRPr="009255DB">
              <w:t>Canada</w:t>
            </w:r>
            <w:proofErr w:type="spellEnd"/>
          </w:p>
        </w:tc>
      </w:tr>
    </w:tbl>
    <w:p w14:paraId="25B0B12C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43E8D" w:rsidRPr="00681ECD" w14:paraId="13010386" w14:textId="77777777" w:rsidTr="00681ECD">
        <w:tc>
          <w:tcPr>
            <w:tcW w:w="8613" w:type="dxa"/>
            <w:shd w:val="clear" w:color="auto" w:fill="auto"/>
          </w:tcPr>
          <w:p w14:paraId="6B28B051" w14:textId="7EBA1C13" w:rsidR="009C3627" w:rsidRPr="009255DB" w:rsidRDefault="00702941" w:rsidP="009255DB">
            <w:pPr>
              <w:pStyle w:val="Heading3"/>
              <w:spacing w:after="240" w:line="240" w:lineRule="auto"/>
              <w:jc w:val="both"/>
              <w:rPr>
                <w:color w:val="auto"/>
              </w:rPr>
            </w:pPr>
            <w:r w:rsidRPr="00681ECD">
              <w:rPr>
                <w:color w:val="auto"/>
              </w:rPr>
              <w:t>5</w:t>
            </w:r>
            <w:r w:rsidR="00643E8D" w:rsidRPr="00681ECD">
              <w:rPr>
                <w:color w:val="auto"/>
              </w:rPr>
              <w:t xml:space="preserve">. </w:t>
            </w:r>
            <w:proofErr w:type="spellStart"/>
            <w:r w:rsidRPr="00681ECD">
              <w:rPr>
                <w:color w:val="auto"/>
              </w:rPr>
              <w:t>Hvilken</w:t>
            </w:r>
            <w:proofErr w:type="spellEnd"/>
            <w:r w:rsidRPr="00681ECD">
              <w:rPr>
                <w:color w:val="auto"/>
              </w:rPr>
              <w:t xml:space="preserve"> </w:t>
            </w:r>
            <w:proofErr w:type="spellStart"/>
            <w:r w:rsidRPr="00681ECD">
              <w:rPr>
                <w:color w:val="auto"/>
              </w:rPr>
              <w:t>pasientgruppe</w:t>
            </w:r>
            <w:proofErr w:type="spellEnd"/>
            <w:r w:rsidR="00643E8D" w:rsidRPr="00681ECD">
              <w:rPr>
                <w:color w:val="auto"/>
              </w:rPr>
              <w:t xml:space="preserve"> i </w:t>
            </w:r>
            <w:proofErr w:type="spellStart"/>
            <w:r w:rsidR="00643E8D" w:rsidRPr="00681ECD">
              <w:rPr>
                <w:color w:val="auto"/>
              </w:rPr>
              <w:t>den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norske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spesialisthelsetjenesten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er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metoden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aktuell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for</w:t>
            </w:r>
            <w:proofErr w:type="spellEnd"/>
            <w:r w:rsidR="00643E8D" w:rsidRPr="00681ECD">
              <w:rPr>
                <w:color w:val="auto"/>
              </w:rPr>
              <w:t>? (</w:t>
            </w:r>
            <w:r w:rsidR="00643E8D" w:rsidRPr="00681ECD">
              <w:rPr>
                <w:color w:val="auto"/>
                <w:u w:val="single"/>
              </w:rPr>
              <w:t>P</w:t>
            </w:r>
            <w:r w:rsidR="00643E8D" w:rsidRPr="00681ECD">
              <w:rPr>
                <w:color w:val="auto"/>
              </w:rPr>
              <w:t>ICO)</w:t>
            </w:r>
          </w:p>
        </w:tc>
      </w:tr>
      <w:tr w:rsidR="00643E8D" w:rsidRPr="00681ECD" w14:paraId="5EA63BCE" w14:textId="77777777" w:rsidTr="00681ECD">
        <w:trPr>
          <w:trHeight w:val="501"/>
        </w:trPr>
        <w:tc>
          <w:tcPr>
            <w:tcW w:w="8613" w:type="dxa"/>
            <w:shd w:val="clear" w:color="auto" w:fill="auto"/>
          </w:tcPr>
          <w:p w14:paraId="01240A27" w14:textId="7EF61940" w:rsidR="00643E8D" w:rsidRPr="009255DB" w:rsidRDefault="00E10066" w:rsidP="009255DB">
            <w:pPr>
              <w:spacing w:after="0" w:line="240" w:lineRule="auto"/>
            </w:pPr>
            <w:proofErr w:type="spellStart"/>
            <w:r w:rsidRPr="009255DB">
              <w:t>B</w:t>
            </w:r>
            <w:r w:rsidR="00643E8D" w:rsidRPr="009255DB">
              <w:t>eskriv</w:t>
            </w:r>
            <w:proofErr w:type="spellEnd"/>
            <w:r w:rsidR="00643E8D" w:rsidRPr="009255DB">
              <w:t xml:space="preserve"> </w:t>
            </w:r>
            <w:proofErr w:type="spellStart"/>
            <w:r w:rsidR="00643E8D" w:rsidRPr="009255DB">
              <w:t>kortfattet</w:t>
            </w:r>
            <w:proofErr w:type="spellEnd"/>
            <w:r w:rsidR="00643E8D" w:rsidRPr="009255DB">
              <w:t>:</w:t>
            </w:r>
            <w:r w:rsidR="0004473E">
              <w:t xml:space="preserve"> </w:t>
            </w:r>
            <w:bookmarkStart w:id="3" w:name="_GoBack"/>
            <w:bookmarkEnd w:id="3"/>
            <w:proofErr w:type="spellStart"/>
            <w:r w:rsidR="007F7717" w:rsidRPr="009255DB">
              <w:rPr>
                <w:rFonts w:cs="Calibri"/>
                <w:lang w:val="en-US"/>
              </w:rPr>
              <w:t>Sixmo</w:t>
            </w:r>
            <w:proofErr w:type="spellEnd"/>
            <w:r w:rsidR="007F7717" w:rsidRPr="009255DB">
              <w:rPr>
                <w:rFonts w:cs="Calibri"/>
                <w:vertAlign w:val="superscript"/>
                <w:lang w:val="en-US"/>
              </w:rPr>
              <w:t>®</w:t>
            </w:r>
            <w:r w:rsidR="007F7717" w:rsidRPr="009255DB">
              <w:rPr>
                <w:rFonts w:cs="Calibri"/>
                <w:lang w:val="en-US"/>
              </w:rPr>
              <w:t xml:space="preserve"> is indicated for the substitution treatment for opioid dependence in clinically stable adult patients who require no more than 8 mg/day of sublingual buprenorphine, within a framework of medical, social and psychological treatment</w:t>
            </w:r>
            <w:r w:rsidR="007F7717" w:rsidRPr="009255DB">
              <w:rPr>
                <w:rFonts w:cs="Calibri"/>
                <w:sz w:val="24"/>
                <w:szCs w:val="24"/>
                <w:lang w:val="en-US"/>
              </w:rPr>
              <w:t>.</w:t>
            </w:r>
            <w:r w:rsidR="00384529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  <w:fldChar w:fldCharType="begin"/>
            </w:r>
            <w:r w:rsidR="00585C27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  <w:instrText xml:space="preserve"> NOTEREF _Ref55246913 \h  \* MERGEFORMAT </w:instrText>
            </w:r>
            <w:r w:rsidR="00384529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</w:r>
            <w:r w:rsidR="00384529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  <w:fldChar w:fldCharType="separate"/>
            </w:r>
            <w:r w:rsidR="00585C27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  <w:t>1</w:t>
            </w:r>
            <w:r w:rsidR="00384529" w:rsidRPr="009255DB">
              <w:rPr>
                <w:rFonts w:cs="Calibri"/>
                <w:sz w:val="24"/>
                <w:szCs w:val="24"/>
                <w:vertAlign w:val="superscript"/>
                <w:lang w:val="en-US"/>
              </w:rPr>
              <w:fldChar w:fldCharType="end"/>
            </w:r>
          </w:p>
        </w:tc>
      </w:tr>
    </w:tbl>
    <w:p w14:paraId="2A512C2C" w14:textId="77777777" w:rsidR="00702941" w:rsidRDefault="007029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E11D8" w:rsidRPr="00681ECD" w14:paraId="0E513F6B" w14:textId="77777777" w:rsidTr="00681ECD">
        <w:tc>
          <w:tcPr>
            <w:tcW w:w="8613" w:type="dxa"/>
            <w:shd w:val="clear" w:color="auto" w:fill="auto"/>
          </w:tcPr>
          <w:p w14:paraId="4F230A5C" w14:textId="6E624BD6" w:rsidR="009C3627" w:rsidRPr="009255DB" w:rsidRDefault="00702941" w:rsidP="009255DB">
            <w:pPr>
              <w:pStyle w:val="Heading3"/>
              <w:spacing w:after="240" w:line="240" w:lineRule="auto"/>
              <w:jc w:val="both"/>
              <w:rPr>
                <w:color w:val="auto"/>
              </w:rPr>
            </w:pPr>
            <w:r w:rsidRPr="00681ECD">
              <w:rPr>
                <w:color w:val="auto"/>
              </w:rPr>
              <w:t>6</w:t>
            </w:r>
            <w:r w:rsidR="00643E8D" w:rsidRPr="00681ECD">
              <w:rPr>
                <w:color w:val="auto"/>
              </w:rPr>
              <w:t>.</w:t>
            </w:r>
            <w:r w:rsidRPr="00681ECD">
              <w:rPr>
                <w:color w:val="auto"/>
              </w:rPr>
              <w:t xml:space="preserve"> </w:t>
            </w:r>
            <w:proofErr w:type="spellStart"/>
            <w:r w:rsidRPr="00681ECD">
              <w:rPr>
                <w:color w:val="auto"/>
              </w:rPr>
              <w:t>Er</w:t>
            </w:r>
            <w:proofErr w:type="spellEnd"/>
            <w:r w:rsidRPr="00681ECD">
              <w:rPr>
                <w:color w:val="auto"/>
              </w:rPr>
              <w:t xml:space="preserve"> du </w:t>
            </w:r>
            <w:proofErr w:type="spellStart"/>
            <w:r w:rsidR="003E11D8" w:rsidRPr="00681ECD">
              <w:rPr>
                <w:color w:val="auto"/>
              </w:rPr>
              <w:t>kjent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3E11D8" w:rsidRPr="00681ECD">
              <w:rPr>
                <w:color w:val="auto"/>
              </w:rPr>
              <w:t>med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3E11D8" w:rsidRPr="00681ECD">
              <w:rPr>
                <w:color w:val="auto"/>
              </w:rPr>
              <w:t>behandlingsalternativer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3E11D8" w:rsidRPr="00681ECD">
              <w:rPr>
                <w:color w:val="auto"/>
              </w:rPr>
              <w:t>til</w:t>
            </w:r>
            <w:proofErr w:type="spellEnd"/>
            <w:r w:rsidR="009C40CB" w:rsidRPr="00681ECD">
              <w:rPr>
                <w:color w:val="auto"/>
              </w:rPr>
              <w:t xml:space="preserve"> </w:t>
            </w:r>
            <w:proofErr w:type="spellStart"/>
            <w:r w:rsidR="009C40CB" w:rsidRPr="00681ECD">
              <w:rPr>
                <w:color w:val="auto"/>
              </w:rPr>
              <w:t>denne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3E11D8" w:rsidRPr="00681ECD">
              <w:rPr>
                <w:color w:val="auto"/>
              </w:rPr>
              <w:t>metoden</w:t>
            </w:r>
            <w:proofErr w:type="spellEnd"/>
            <w:r w:rsidR="003E11D8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og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hvordan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disse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fungerer</w:t>
            </w:r>
            <w:proofErr w:type="spellEnd"/>
            <w:r w:rsidR="009C40CB" w:rsidRPr="00681ECD">
              <w:rPr>
                <w:color w:val="auto"/>
              </w:rPr>
              <w:t xml:space="preserve"> </w:t>
            </w:r>
            <w:proofErr w:type="spellStart"/>
            <w:r w:rsidR="009C40CB" w:rsidRPr="00681ECD">
              <w:rPr>
                <w:color w:val="auto"/>
              </w:rPr>
              <w:t>for</w:t>
            </w:r>
            <w:proofErr w:type="spellEnd"/>
            <w:r w:rsidR="009C40CB" w:rsidRPr="00681ECD">
              <w:rPr>
                <w:color w:val="auto"/>
              </w:rPr>
              <w:t xml:space="preserve"> </w:t>
            </w:r>
            <w:proofErr w:type="spellStart"/>
            <w:r w:rsidR="009C40CB" w:rsidRPr="00681ECD">
              <w:rPr>
                <w:color w:val="auto"/>
              </w:rPr>
              <w:t>pasientgruppen</w:t>
            </w:r>
            <w:proofErr w:type="spellEnd"/>
            <w:r w:rsidRPr="00681ECD">
              <w:rPr>
                <w:color w:val="auto"/>
              </w:rPr>
              <w:t xml:space="preserve"> i dag</w:t>
            </w:r>
            <w:r w:rsidR="009C40CB" w:rsidRPr="00681ECD">
              <w:rPr>
                <w:color w:val="auto"/>
              </w:rPr>
              <w:t>?</w:t>
            </w:r>
            <w:r w:rsidR="0025054C" w:rsidRPr="00681ECD">
              <w:rPr>
                <w:color w:val="auto"/>
              </w:rPr>
              <w:t xml:space="preserve"> (PI</w:t>
            </w:r>
            <w:r w:rsidR="0025054C" w:rsidRPr="00681ECD">
              <w:rPr>
                <w:color w:val="auto"/>
                <w:u w:val="single"/>
              </w:rPr>
              <w:t>C</w:t>
            </w:r>
            <w:r w:rsidR="0025054C" w:rsidRPr="00681ECD">
              <w:rPr>
                <w:color w:val="auto"/>
              </w:rPr>
              <w:t>O)</w:t>
            </w:r>
          </w:p>
        </w:tc>
      </w:tr>
      <w:tr w:rsidR="003E11D8" w:rsidRPr="00681ECD" w14:paraId="6CAF7ADB" w14:textId="77777777" w:rsidTr="00681ECD">
        <w:trPr>
          <w:trHeight w:val="406"/>
        </w:trPr>
        <w:tc>
          <w:tcPr>
            <w:tcW w:w="8613" w:type="dxa"/>
            <w:shd w:val="clear" w:color="auto" w:fill="auto"/>
          </w:tcPr>
          <w:p w14:paraId="5DFAB719" w14:textId="77777777" w:rsidR="009C40CB" w:rsidRPr="009255DB" w:rsidRDefault="00E10066" w:rsidP="00681ECD">
            <w:pPr>
              <w:spacing w:after="0" w:line="240" w:lineRule="auto"/>
            </w:pPr>
            <w:proofErr w:type="spellStart"/>
            <w:r w:rsidRPr="009255DB">
              <w:t>B</w:t>
            </w:r>
            <w:r w:rsidR="003E11D8" w:rsidRPr="009255DB">
              <w:t>eskriv</w:t>
            </w:r>
            <w:proofErr w:type="spellEnd"/>
            <w:r w:rsidR="003E11D8" w:rsidRPr="009255DB">
              <w:t xml:space="preserve"> </w:t>
            </w:r>
            <w:proofErr w:type="spellStart"/>
            <w:r w:rsidR="003E11D8" w:rsidRPr="009255DB">
              <w:t>kortfattet</w:t>
            </w:r>
            <w:proofErr w:type="spellEnd"/>
            <w:r w:rsidR="003E11D8" w:rsidRPr="009255DB">
              <w:t>:</w:t>
            </w:r>
          </w:p>
          <w:p w14:paraId="764F2201" w14:textId="77777777" w:rsidR="007F7717" w:rsidRPr="009255DB" w:rsidRDefault="007F7717" w:rsidP="007F771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255DB">
              <w:rPr>
                <w:sz w:val="22"/>
                <w:szCs w:val="22"/>
              </w:rPr>
              <w:t>As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part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of</w:t>
            </w:r>
            <w:proofErr w:type="spellEnd"/>
            <w:r w:rsidRPr="009255DB">
              <w:rPr>
                <w:sz w:val="22"/>
                <w:szCs w:val="22"/>
              </w:rPr>
              <w:t xml:space="preserve"> the </w:t>
            </w:r>
            <w:proofErr w:type="spellStart"/>
            <w:r w:rsidRPr="009255DB">
              <w:rPr>
                <w:sz w:val="22"/>
                <w:szCs w:val="22"/>
              </w:rPr>
              <w:t>treatment</w:t>
            </w:r>
            <w:proofErr w:type="spellEnd"/>
            <w:r w:rsidRPr="009255DB">
              <w:rPr>
                <w:sz w:val="22"/>
                <w:szCs w:val="22"/>
              </w:rPr>
              <w:t xml:space="preserve">, </w:t>
            </w:r>
            <w:proofErr w:type="spellStart"/>
            <w:r w:rsidRPr="009255DB">
              <w:rPr>
                <w:sz w:val="22"/>
                <w:szCs w:val="22"/>
              </w:rPr>
              <w:t>along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with</w:t>
            </w:r>
            <w:proofErr w:type="spellEnd"/>
            <w:r w:rsidRPr="009255DB">
              <w:rPr>
                <w:sz w:val="22"/>
                <w:szCs w:val="22"/>
              </w:rPr>
              <w:t xml:space="preserve"> a </w:t>
            </w:r>
            <w:proofErr w:type="spellStart"/>
            <w:r w:rsidRPr="009255DB">
              <w:rPr>
                <w:sz w:val="22"/>
                <w:szCs w:val="22"/>
              </w:rPr>
              <w:t>framework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of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medical</w:t>
            </w:r>
            <w:proofErr w:type="spellEnd"/>
            <w:r w:rsidRPr="009255DB">
              <w:rPr>
                <w:sz w:val="22"/>
                <w:szCs w:val="22"/>
              </w:rPr>
              <w:t xml:space="preserve">, </w:t>
            </w:r>
            <w:proofErr w:type="spellStart"/>
            <w:r w:rsidRPr="009255DB">
              <w:rPr>
                <w:sz w:val="22"/>
                <w:szCs w:val="22"/>
              </w:rPr>
              <w:t>social</w:t>
            </w:r>
            <w:proofErr w:type="spellEnd"/>
            <w:r w:rsidRPr="009255DB">
              <w:rPr>
                <w:sz w:val="22"/>
                <w:szCs w:val="22"/>
              </w:rPr>
              <w:t xml:space="preserve"> and </w:t>
            </w:r>
            <w:proofErr w:type="spellStart"/>
            <w:r w:rsidRPr="009255DB">
              <w:rPr>
                <w:sz w:val="22"/>
                <w:szCs w:val="22"/>
              </w:rPr>
              <w:t>psychological</w:t>
            </w:r>
            <w:proofErr w:type="spellEnd"/>
            <w:r w:rsidRPr="009255DB">
              <w:rPr>
                <w:sz w:val="22"/>
                <w:szCs w:val="22"/>
              </w:rPr>
              <w:t xml:space="preserve"> care, the </w:t>
            </w:r>
            <w:proofErr w:type="spellStart"/>
            <w:r w:rsidRPr="009255DB">
              <w:rPr>
                <w:sz w:val="22"/>
                <w:szCs w:val="22"/>
              </w:rPr>
              <w:t>following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opioid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substitution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medicines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may</w:t>
            </w:r>
            <w:proofErr w:type="spellEnd"/>
            <w:r w:rsidRPr="009255DB">
              <w:rPr>
                <w:sz w:val="22"/>
                <w:szCs w:val="22"/>
              </w:rPr>
              <w:t xml:space="preserve"> be </w:t>
            </w:r>
            <w:proofErr w:type="spellStart"/>
            <w:r w:rsidRPr="009255DB">
              <w:rPr>
                <w:sz w:val="22"/>
                <w:szCs w:val="22"/>
              </w:rPr>
              <w:t>administered</w:t>
            </w:r>
            <w:proofErr w:type="spellEnd"/>
            <w:r w:rsidR="005672BF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5672BF" w:rsidRPr="009255DB">
              <w:rPr>
                <w:sz w:val="22"/>
                <w:szCs w:val="22"/>
              </w:rPr>
              <w:t>for</w:t>
            </w:r>
            <w:proofErr w:type="spellEnd"/>
            <w:r w:rsidR="005672BF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5672BF" w:rsidRPr="009255DB">
              <w:rPr>
                <w:sz w:val="22"/>
                <w:szCs w:val="22"/>
              </w:rPr>
              <w:t>treatment</w:t>
            </w:r>
            <w:proofErr w:type="spellEnd"/>
            <w:r w:rsidR="005672BF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5672BF" w:rsidRPr="009255DB">
              <w:rPr>
                <w:sz w:val="22"/>
                <w:szCs w:val="22"/>
              </w:rPr>
              <w:t>of</w:t>
            </w:r>
            <w:proofErr w:type="spellEnd"/>
            <w:r w:rsidR="00DD4A5B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DD4A5B" w:rsidRPr="009255DB">
              <w:rPr>
                <w:sz w:val="22"/>
                <w:szCs w:val="22"/>
              </w:rPr>
              <w:t>opioid</w:t>
            </w:r>
            <w:proofErr w:type="spellEnd"/>
            <w:r w:rsidR="00DD4A5B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DD4A5B" w:rsidRPr="009255DB">
              <w:rPr>
                <w:sz w:val="22"/>
                <w:szCs w:val="22"/>
              </w:rPr>
              <w:t>use</w:t>
            </w:r>
            <w:proofErr w:type="spellEnd"/>
            <w:r w:rsidR="00DD4A5B"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DD4A5B" w:rsidRPr="009255DB">
              <w:rPr>
                <w:sz w:val="22"/>
                <w:szCs w:val="22"/>
              </w:rPr>
              <w:t>disorder</w:t>
            </w:r>
            <w:proofErr w:type="spellEnd"/>
            <w:r w:rsidRPr="009255DB">
              <w:rPr>
                <w:sz w:val="22"/>
                <w:szCs w:val="22"/>
              </w:rPr>
              <w:t xml:space="preserve">: </w:t>
            </w:r>
          </w:p>
          <w:p w14:paraId="54D87E18" w14:textId="77777777" w:rsidR="007F7717" w:rsidRPr="009255DB" w:rsidRDefault="007F7717" w:rsidP="00681ECD">
            <w:pPr>
              <w:pStyle w:val="Default"/>
              <w:numPr>
                <w:ilvl w:val="0"/>
                <w:numId w:val="11"/>
              </w:numPr>
              <w:spacing w:after="30"/>
              <w:rPr>
                <w:sz w:val="22"/>
                <w:szCs w:val="22"/>
              </w:rPr>
            </w:pPr>
            <w:proofErr w:type="spellStart"/>
            <w:r w:rsidRPr="009255DB">
              <w:rPr>
                <w:sz w:val="22"/>
                <w:szCs w:val="22"/>
              </w:rPr>
              <w:lastRenderedPageBreak/>
              <w:t>Sublingual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buprenorphine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4D7648" w:rsidRPr="009255DB">
              <w:rPr>
                <w:sz w:val="22"/>
                <w:szCs w:val="22"/>
              </w:rPr>
              <w:t>tablets</w:t>
            </w:r>
            <w:proofErr w:type="spellEnd"/>
          </w:p>
          <w:p w14:paraId="106A30C5" w14:textId="77777777" w:rsidR="007F7717" w:rsidRPr="009255DB" w:rsidRDefault="007F7717" w:rsidP="00681ECD">
            <w:pPr>
              <w:pStyle w:val="Default"/>
              <w:numPr>
                <w:ilvl w:val="0"/>
                <w:numId w:val="11"/>
              </w:numPr>
              <w:spacing w:after="30"/>
              <w:rPr>
                <w:sz w:val="22"/>
                <w:szCs w:val="22"/>
              </w:rPr>
            </w:pPr>
            <w:proofErr w:type="spellStart"/>
            <w:r w:rsidRPr="009255DB">
              <w:rPr>
                <w:sz w:val="22"/>
                <w:szCs w:val="22"/>
              </w:rPr>
              <w:t>Sublingual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sz w:val="22"/>
                <w:szCs w:val="22"/>
              </w:rPr>
              <w:t>buprenorphine</w:t>
            </w:r>
            <w:proofErr w:type="spellEnd"/>
            <w:r w:rsidRPr="009255DB">
              <w:rPr>
                <w:sz w:val="22"/>
                <w:szCs w:val="22"/>
              </w:rPr>
              <w:t>/</w:t>
            </w:r>
            <w:proofErr w:type="spellStart"/>
            <w:r w:rsidRPr="009255DB">
              <w:rPr>
                <w:sz w:val="22"/>
                <w:szCs w:val="22"/>
              </w:rPr>
              <w:t>naloxone</w:t>
            </w:r>
            <w:proofErr w:type="spellEnd"/>
            <w:r w:rsidRPr="009255DB">
              <w:rPr>
                <w:sz w:val="22"/>
                <w:szCs w:val="22"/>
              </w:rPr>
              <w:t xml:space="preserve"> </w:t>
            </w:r>
            <w:proofErr w:type="spellStart"/>
            <w:r w:rsidR="004D7648" w:rsidRPr="009255DB">
              <w:rPr>
                <w:sz w:val="22"/>
                <w:szCs w:val="22"/>
              </w:rPr>
              <w:t>tablets</w:t>
            </w:r>
            <w:proofErr w:type="spellEnd"/>
          </w:p>
          <w:p w14:paraId="155FF17B" w14:textId="77777777" w:rsidR="007635ED" w:rsidRPr="009255DB" w:rsidRDefault="007F7717" w:rsidP="007635E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proofErr w:type="spellStart"/>
            <w:r w:rsidRPr="009255DB">
              <w:rPr>
                <w:color w:val="auto"/>
                <w:sz w:val="22"/>
                <w:szCs w:val="22"/>
              </w:rPr>
              <w:t>Oral</w:t>
            </w:r>
            <w:proofErr w:type="spellEnd"/>
            <w:r w:rsidRPr="009255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color w:val="auto"/>
                <w:sz w:val="22"/>
                <w:szCs w:val="22"/>
              </w:rPr>
              <w:t>methadone</w:t>
            </w:r>
            <w:proofErr w:type="spellEnd"/>
            <w:r w:rsidRPr="009255DB">
              <w:rPr>
                <w:color w:val="auto"/>
                <w:sz w:val="22"/>
                <w:szCs w:val="22"/>
              </w:rPr>
              <w:t xml:space="preserve"> </w:t>
            </w:r>
          </w:p>
          <w:p w14:paraId="1F4C794F" w14:textId="3B09C9C8" w:rsidR="007F7717" w:rsidRPr="009255DB" w:rsidRDefault="004D7648" w:rsidP="00681EC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proofErr w:type="spellStart"/>
            <w:r w:rsidRPr="009255DB">
              <w:rPr>
                <w:color w:val="auto"/>
                <w:sz w:val="22"/>
                <w:szCs w:val="22"/>
              </w:rPr>
              <w:t>Subcutaneous</w:t>
            </w:r>
            <w:proofErr w:type="spellEnd"/>
            <w:r w:rsidR="00DD4A5B" w:rsidRPr="009255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D4A5B" w:rsidRPr="009255DB">
              <w:rPr>
                <w:color w:val="auto"/>
                <w:sz w:val="22"/>
                <w:szCs w:val="22"/>
              </w:rPr>
              <w:t>buprenorphine</w:t>
            </w:r>
            <w:proofErr w:type="spellEnd"/>
            <w:r w:rsidRPr="009255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color w:val="auto"/>
                <w:sz w:val="22"/>
                <w:szCs w:val="22"/>
              </w:rPr>
              <w:t>depot</w:t>
            </w:r>
            <w:proofErr w:type="spellEnd"/>
            <w:r w:rsidRPr="009255D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55DB">
              <w:rPr>
                <w:color w:val="auto"/>
                <w:sz w:val="22"/>
                <w:szCs w:val="22"/>
              </w:rPr>
              <w:t>injection</w:t>
            </w:r>
            <w:proofErr w:type="spellEnd"/>
          </w:p>
          <w:p w14:paraId="53D68611" w14:textId="77777777" w:rsidR="002222EC" w:rsidRPr="009255DB" w:rsidRDefault="002222EC" w:rsidP="00681ECD">
            <w:pPr>
              <w:spacing w:after="0" w:line="240" w:lineRule="auto"/>
              <w:ind w:hanging="11"/>
              <w:rPr>
                <w:rFonts w:cs="Calibri"/>
              </w:rPr>
            </w:pPr>
          </w:p>
          <w:p w14:paraId="67E2271F" w14:textId="77777777" w:rsidR="007F7717" w:rsidRPr="009255DB" w:rsidRDefault="007F7717" w:rsidP="00681ECD">
            <w:pPr>
              <w:spacing w:after="0" w:line="240" w:lineRule="auto"/>
              <w:ind w:hanging="11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Treatment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sublingual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="00BF612D" w:rsidRPr="009255DB">
              <w:rPr>
                <w:rFonts w:cs="Calibri"/>
              </w:rPr>
              <w:t xml:space="preserve"> </w:t>
            </w:r>
            <w:proofErr w:type="spellStart"/>
            <w:r w:rsidR="00BF612D" w:rsidRPr="009255DB">
              <w:rPr>
                <w:rFonts w:cs="Calibri"/>
              </w:rPr>
              <w:t>or</w:t>
            </w:r>
            <w:proofErr w:type="spellEnd"/>
            <w:r w:rsidR="00BF612D" w:rsidRPr="009255DB">
              <w:rPr>
                <w:rFonts w:cs="Calibri"/>
              </w:rPr>
              <w:t xml:space="preserve"> </w:t>
            </w:r>
            <w:proofErr w:type="spellStart"/>
            <w:r w:rsidR="00BF612D" w:rsidRPr="009255DB">
              <w:rPr>
                <w:rFonts w:cs="Calibri"/>
              </w:rPr>
              <w:t>buprenorphine</w:t>
            </w:r>
            <w:proofErr w:type="spellEnd"/>
            <w:r w:rsidR="00BF612D" w:rsidRPr="009255DB">
              <w:rPr>
                <w:rFonts w:cs="Calibri"/>
              </w:rPr>
              <w:t>/</w:t>
            </w:r>
            <w:proofErr w:type="spellStart"/>
            <w:r w:rsidR="00BF612D" w:rsidRPr="009255DB">
              <w:rPr>
                <w:rFonts w:cs="Calibri"/>
              </w:rPr>
              <w:t>naloxone</w:t>
            </w:r>
            <w:proofErr w:type="spellEnd"/>
            <w:r w:rsidR="00101FB5" w:rsidRPr="009255DB">
              <w:rPr>
                <w:rFonts w:cs="Calibri"/>
              </w:rPr>
              <w:t xml:space="preserve"> </w:t>
            </w:r>
            <w:proofErr w:type="spellStart"/>
            <w:r w:rsidR="00101FB5" w:rsidRPr="009255DB">
              <w:rPr>
                <w:rFonts w:cs="Calibri"/>
              </w:rPr>
              <w:t>can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r w:rsidR="00101FB5" w:rsidRPr="009255DB">
              <w:rPr>
                <w:rFonts w:cs="Calibri"/>
              </w:rPr>
              <w:t xml:space="preserve">be </w:t>
            </w:r>
            <w:proofErr w:type="spellStart"/>
            <w:r w:rsidRPr="009255DB">
              <w:rPr>
                <w:rFonts w:cs="Calibri"/>
              </w:rPr>
              <w:t>associated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r w:rsidR="00101FB5" w:rsidRPr="009255DB">
              <w:rPr>
                <w:rFonts w:cs="Calibri"/>
              </w:rPr>
              <w:t xml:space="preserve">the </w:t>
            </w:r>
            <w:proofErr w:type="spellStart"/>
            <w:r w:rsidR="00101FB5" w:rsidRPr="009255DB">
              <w:rPr>
                <w:rFonts w:cs="Calibri"/>
              </w:rPr>
              <w:t>following</w:t>
            </w:r>
            <w:proofErr w:type="spellEnd"/>
            <w:r w:rsidRPr="009255DB">
              <w:rPr>
                <w:rFonts w:cs="Calibri"/>
              </w:rPr>
              <w:t>:</w:t>
            </w:r>
          </w:p>
          <w:p w14:paraId="6A03AE25" w14:textId="77777777" w:rsidR="005D0060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administration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by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="002222EC" w:rsidRPr="009255DB">
              <w:rPr>
                <w:rFonts w:cs="Calibri"/>
              </w:rPr>
              <w:t>sublingual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route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requires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0A425A" w:rsidRPr="009255DB">
              <w:rPr>
                <w:rFonts w:cs="Calibri"/>
              </w:rPr>
              <w:t>good</w:t>
            </w:r>
            <w:proofErr w:type="spellEnd"/>
            <w:r w:rsidR="000A425A" w:rsidRPr="009255DB">
              <w:rPr>
                <w:rFonts w:cs="Calibri"/>
              </w:rPr>
              <w:t xml:space="preserve"> </w:t>
            </w:r>
            <w:proofErr w:type="spellStart"/>
            <w:r w:rsidR="000A425A" w:rsidRPr="009255DB">
              <w:rPr>
                <w:rFonts w:cs="Calibri"/>
              </w:rPr>
              <w:t>patient</w:t>
            </w:r>
            <w:proofErr w:type="spellEnd"/>
            <w:r w:rsidR="000A425A" w:rsidRPr="009255DB">
              <w:rPr>
                <w:rFonts w:cs="Calibri"/>
              </w:rPr>
              <w:t xml:space="preserve"> </w:t>
            </w:r>
            <w:proofErr w:type="spellStart"/>
            <w:r w:rsidR="000A425A" w:rsidRPr="009255DB">
              <w:rPr>
                <w:rFonts w:cs="Calibri"/>
              </w:rPr>
              <w:t>adherance</w:t>
            </w:r>
            <w:proofErr w:type="spellEnd"/>
            <w:r w:rsidR="000A425A" w:rsidRPr="009255DB">
              <w:rPr>
                <w:rFonts w:cs="Calibri"/>
              </w:rPr>
              <w:t>,</w:t>
            </w:r>
            <w:r w:rsidR="00AD7981" w:rsidRPr="009255DB">
              <w:rPr>
                <w:rFonts w:cs="Calibri"/>
              </w:rPr>
              <w:t xml:space="preserve"> </w:t>
            </w:r>
            <w:proofErr w:type="spellStart"/>
            <w:r w:rsidR="00AD7981" w:rsidRPr="009255DB">
              <w:rPr>
                <w:rFonts w:cs="Calibri"/>
              </w:rPr>
              <w:t>however</w:t>
            </w:r>
            <w:proofErr w:type="spellEnd"/>
            <w:r w:rsidR="00AD7981" w:rsidRPr="009255DB">
              <w:rPr>
                <w:rFonts w:cs="Calibri"/>
              </w:rPr>
              <w:t xml:space="preserve"> </w:t>
            </w:r>
            <w:proofErr w:type="spellStart"/>
            <w:r w:rsidR="00AD7981" w:rsidRPr="009255DB">
              <w:t>patients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who</w:t>
            </w:r>
            <w:proofErr w:type="spellEnd"/>
            <w:r w:rsidR="00AD7981" w:rsidRPr="009255DB">
              <w:t xml:space="preserve"> are </w:t>
            </w:r>
            <w:proofErr w:type="spellStart"/>
            <w:r w:rsidR="00AD7981" w:rsidRPr="009255DB">
              <w:t>having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difficulty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adhering</w:t>
            </w:r>
            <w:proofErr w:type="spellEnd"/>
            <w:r w:rsidR="00AD7981" w:rsidRPr="009255DB">
              <w:t xml:space="preserve"> to </w:t>
            </w:r>
            <w:proofErr w:type="spellStart"/>
            <w:r w:rsidR="00AD7981" w:rsidRPr="009255DB">
              <w:t>their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buprenorphine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can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have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their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medication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provided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under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directly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observed</w:t>
            </w:r>
            <w:proofErr w:type="spellEnd"/>
            <w:r w:rsidR="00AD7981" w:rsidRPr="009255DB">
              <w:t xml:space="preserve"> </w:t>
            </w:r>
            <w:proofErr w:type="spellStart"/>
            <w:r w:rsidR="00AD7981" w:rsidRPr="009255DB">
              <w:t>therapy</w:t>
            </w:r>
            <w:proofErr w:type="spellEnd"/>
            <w:r w:rsidR="00AD7981" w:rsidRPr="009255DB">
              <w:t>.</w:t>
            </w:r>
            <w:r w:rsidR="00AD7981" w:rsidRPr="009255DB">
              <w:rPr>
                <w:rStyle w:val="EndnoteReference"/>
              </w:rPr>
              <w:endnoteReference w:id="5"/>
            </w:r>
            <w:r w:rsidR="00AD7981" w:rsidRPr="009255DB">
              <w:rPr>
                <w:rFonts w:cs="Calibri"/>
              </w:rPr>
              <w:t xml:space="preserve"> </w:t>
            </w:r>
          </w:p>
          <w:p w14:paraId="2A3CB223" w14:textId="77777777" w:rsidR="007F7717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Poor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medication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adherence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is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leading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cause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relapse</w:t>
            </w:r>
            <w:proofErr w:type="spellEnd"/>
            <w:r w:rsidR="00434EFF" w:rsidRPr="009255DB">
              <w:rPr>
                <w:rFonts w:cs="Calibri"/>
              </w:rPr>
              <w:t xml:space="preserve"> and</w:t>
            </w:r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treatment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failure</w:t>
            </w:r>
            <w:proofErr w:type="spellEnd"/>
            <w:r w:rsidR="00AD7981" w:rsidRPr="009255DB">
              <w:rPr>
                <w:rStyle w:val="EndnoteReference"/>
                <w:rFonts w:cs="Calibri"/>
              </w:rPr>
              <w:endnoteReference w:id="6"/>
            </w:r>
            <w:r w:rsidR="00010267" w:rsidRPr="009255DB">
              <w:rPr>
                <w:rFonts w:cs="Calibri"/>
                <w:vertAlign w:val="superscript"/>
              </w:rPr>
              <w:t>,</w:t>
            </w:r>
            <w:bookmarkStart w:id="4" w:name="_Ref55289654"/>
            <w:r w:rsidR="00010267" w:rsidRPr="009255DB">
              <w:rPr>
                <w:rStyle w:val="EndnoteReference"/>
                <w:rFonts w:cs="Calibri"/>
              </w:rPr>
              <w:endnoteReference w:id="7"/>
            </w:r>
            <w:bookmarkEnd w:id="4"/>
          </w:p>
          <w:p w14:paraId="758AA361" w14:textId="77777777" w:rsidR="007F7717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poor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medication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adherence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resulting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in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craving</w:t>
            </w:r>
            <w:proofErr w:type="spellEnd"/>
            <w:r w:rsidR="00897A58" w:rsidRPr="009255DB">
              <w:rPr>
                <w:rFonts w:cs="Calibri"/>
              </w:rPr>
              <w:t xml:space="preserve"> and </w:t>
            </w:r>
            <w:proofErr w:type="spellStart"/>
            <w:r w:rsidR="00897A58" w:rsidRPr="009255DB">
              <w:rPr>
                <w:rFonts w:cs="Calibri"/>
              </w:rPr>
              <w:t>withdrawal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symptoms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increas</w:t>
            </w:r>
            <w:r w:rsidR="00010267" w:rsidRPr="009255DB">
              <w:rPr>
                <w:rFonts w:cs="Calibri"/>
              </w:rPr>
              <w:t>e</w:t>
            </w:r>
            <w:r w:rsidR="00897A58" w:rsidRPr="009255DB">
              <w:rPr>
                <w:rFonts w:cs="Calibri"/>
              </w:rPr>
              <w:t>d</w:t>
            </w:r>
            <w:proofErr w:type="spellEnd"/>
            <w:r w:rsidR="00897A58" w:rsidRPr="009255DB">
              <w:rPr>
                <w:rFonts w:cs="Calibri"/>
              </w:rPr>
              <w:t xml:space="preserve"> the </w:t>
            </w:r>
            <w:proofErr w:type="spellStart"/>
            <w:r w:rsidR="00897A58" w:rsidRPr="009255DB">
              <w:rPr>
                <w:rFonts w:cs="Calibri"/>
              </w:rPr>
              <w:t>likelyhood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="00897A58" w:rsidRPr="009255DB">
              <w:rPr>
                <w:rFonts w:cs="Calibri"/>
              </w:rPr>
              <w:t>of</w:t>
            </w:r>
            <w:proofErr w:type="spellEnd"/>
            <w:r w:rsidR="00897A58" w:rsidRPr="009255DB">
              <w:rPr>
                <w:rFonts w:cs="Calibri"/>
              </w:rPr>
              <w:t xml:space="preserve"> a </w:t>
            </w:r>
            <w:proofErr w:type="spellStart"/>
            <w:r w:rsidR="00897A58" w:rsidRPr="009255DB">
              <w:rPr>
                <w:rFonts w:cs="Calibri"/>
              </w:rPr>
              <w:t>relapse</w:t>
            </w:r>
            <w:proofErr w:type="spellEnd"/>
            <w:r w:rsidR="00897A58" w:rsidRPr="009255DB">
              <w:rPr>
                <w:rStyle w:val="EndnoteReference"/>
                <w:rFonts w:cs="Calibri"/>
              </w:rPr>
              <w:endnoteReference w:id="8"/>
            </w:r>
          </w:p>
          <w:p w14:paraId="62AAC90E" w14:textId="77777777" w:rsidR="007F7717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r w:rsidRPr="009255DB">
              <w:rPr>
                <w:rFonts w:cs="Calibri"/>
              </w:rPr>
              <w:t xml:space="preserve">the </w:t>
            </w:r>
            <w:proofErr w:type="spellStart"/>
            <w:r w:rsidRPr="009255DB">
              <w:rPr>
                <w:rFonts w:cs="Calibri"/>
              </w:rPr>
              <w:t>patient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control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his</w:t>
            </w:r>
            <w:proofErr w:type="spellEnd"/>
            <w:r w:rsidRPr="009255DB">
              <w:rPr>
                <w:rFonts w:cs="Calibri"/>
              </w:rPr>
              <w:t>/</w:t>
            </w:r>
            <w:proofErr w:type="spellStart"/>
            <w:r w:rsidRPr="009255DB">
              <w:rPr>
                <w:rFonts w:cs="Calibri"/>
              </w:rPr>
              <w:t>her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dosing</w:t>
            </w:r>
            <w:proofErr w:type="spellEnd"/>
            <w:r w:rsidRPr="009255DB">
              <w:rPr>
                <w:rFonts w:cs="Calibri"/>
              </w:rPr>
              <w:t xml:space="preserve">, and a </w:t>
            </w:r>
            <w:proofErr w:type="spellStart"/>
            <w:r w:rsidRPr="009255DB">
              <w:rPr>
                <w:rFonts w:cs="Calibri"/>
              </w:rPr>
              <w:t>conscious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decision</w:t>
            </w:r>
            <w:proofErr w:type="spellEnd"/>
            <w:r w:rsidRPr="009255DB">
              <w:rPr>
                <w:rFonts w:cs="Calibri"/>
              </w:rPr>
              <w:t xml:space="preserve"> to </w:t>
            </w:r>
            <w:proofErr w:type="spellStart"/>
            <w:r w:rsidRPr="009255DB">
              <w:rPr>
                <w:rFonts w:cs="Calibri"/>
              </w:rPr>
              <w:t>discontinue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treatment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short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term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anticipation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exposure</w:t>
            </w:r>
            <w:proofErr w:type="spellEnd"/>
            <w:r w:rsidRPr="009255DB">
              <w:rPr>
                <w:rFonts w:cs="Calibri"/>
              </w:rPr>
              <w:t xml:space="preserve"> to </w:t>
            </w:r>
            <w:proofErr w:type="spellStart"/>
            <w:r w:rsidRPr="009255DB">
              <w:rPr>
                <w:rFonts w:cs="Calibri"/>
              </w:rPr>
              <w:t>illicit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drugs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can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easily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occur</w:t>
            </w:r>
            <w:proofErr w:type="spellEnd"/>
            <w:r w:rsidRPr="009255DB">
              <w:rPr>
                <w:rFonts w:cs="Calibri"/>
              </w:rPr>
              <w:t xml:space="preserve"> (</w:t>
            </w:r>
            <w:proofErr w:type="spellStart"/>
            <w:r w:rsidRPr="009255DB">
              <w:rPr>
                <w:rFonts w:cs="Calibri"/>
              </w:rPr>
              <w:t>i.e</w:t>
            </w:r>
            <w:proofErr w:type="spellEnd"/>
            <w:r w:rsidRPr="009255DB">
              <w:rPr>
                <w:rFonts w:cs="Calibri"/>
              </w:rPr>
              <w:t>., a “</w:t>
            </w:r>
            <w:proofErr w:type="spellStart"/>
            <w:r w:rsidRPr="009255DB">
              <w:rPr>
                <w:rFonts w:cs="Calibri"/>
              </w:rPr>
              <w:t>drug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holiday</w:t>
            </w:r>
            <w:proofErr w:type="spellEnd"/>
            <w:r w:rsidRPr="009255DB">
              <w:rPr>
                <w:rFonts w:cs="Calibri"/>
              </w:rPr>
              <w:t>”);</w:t>
            </w:r>
            <w:r w:rsidR="00384529" w:rsidRPr="009255DB">
              <w:rPr>
                <w:rFonts w:cs="Calibri"/>
                <w:vertAlign w:val="superscript"/>
              </w:rPr>
              <w:fldChar w:fldCharType="begin"/>
            </w:r>
            <w:r w:rsidR="00010267" w:rsidRPr="009255DB">
              <w:rPr>
                <w:rFonts w:cs="Calibri"/>
                <w:vertAlign w:val="superscript"/>
              </w:rPr>
              <w:instrText xml:space="preserve"> NOTEREF _Ref55289654 \h  \* MERGEFORMAT </w:instrText>
            </w:r>
            <w:r w:rsidR="00384529" w:rsidRPr="009255DB">
              <w:rPr>
                <w:rFonts w:cs="Calibri"/>
                <w:vertAlign w:val="superscript"/>
              </w:rPr>
            </w:r>
            <w:r w:rsidR="00384529" w:rsidRPr="009255DB">
              <w:rPr>
                <w:rFonts w:cs="Calibri"/>
                <w:vertAlign w:val="superscript"/>
              </w:rPr>
              <w:fldChar w:fldCharType="separate"/>
            </w:r>
            <w:r w:rsidR="00010267" w:rsidRPr="009255DB">
              <w:rPr>
                <w:rFonts w:cs="Calibri"/>
                <w:vertAlign w:val="superscript"/>
              </w:rPr>
              <w:t>7</w:t>
            </w:r>
            <w:r w:rsidR="00384529" w:rsidRPr="009255DB">
              <w:rPr>
                <w:rFonts w:cs="Calibri"/>
                <w:vertAlign w:val="superscript"/>
              </w:rPr>
              <w:fldChar w:fldCharType="end"/>
            </w:r>
          </w:p>
          <w:p w14:paraId="4CF01200" w14:textId="77777777" w:rsidR="007F7717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plasma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concentrations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initially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peak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sharply</w:t>
            </w:r>
            <w:proofErr w:type="spellEnd"/>
            <w:r w:rsidRPr="009255DB">
              <w:rPr>
                <w:rFonts w:cs="Calibri"/>
              </w:rPr>
              <w:t xml:space="preserve"> and </w:t>
            </w:r>
            <w:proofErr w:type="spellStart"/>
            <w:r w:rsidRPr="009255DB">
              <w:rPr>
                <w:rFonts w:cs="Calibri"/>
              </w:rPr>
              <w:t>then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decrease</w:t>
            </w:r>
            <w:proofErr w:type="spellEnd"/>
            <w:r w:rsidRPr="009255DB">
              <w:rPr>
                <w:rFonts w:cs="Calibri"/>
              </w:rPr>
              <w:t xml:space="preserve"> to the </w:t>
            </w:r>
            <w:proofErr w:type="spellStart"/>
            <w:r w:rsidRPr="009255DB">
              <w:rPr>
                <w:rFonts w:cs="Calibri"/>
              </w:rPr>
              <w:t>trough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levels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within</w:t>
            </w:r>
            <w:proofErr w:type="spellEnd"/>
            <w:r w:rsidRPr="009255DB">
              <w:rPr>
                <w:rFonts w:cs="Calibri"/>
              </w:rPr>
              <w:t xml:space="preserve"> 12-24 </w:t>
            </w:r>
            <w:proofErr w:type="spellStart"/>
            <w:r w:rsidRPr="009255DB">
              <w:rPr>
                <w:rFonts w:cs="Calibri"/>
              </w:rPr>
              <w:t>hours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each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dose</w:t>
            </w:r>
            <w:proofErr w:type="spellEnd"/>
            <w:r w:rsidRPr="009255DB">
              <w:rPr>
                <w:rFonts w:cs="Calibri"/>
              </w:rPr>
              <w:t xml:space="preserve">, </w:t>
            </w:r>
            <w:proofErr w:type="spellStart"/>
            <w:r w:rsidR="00897A58" w:rsidRPr="009255DB">
              <w:rPr>
                <w:rFonts w:cs="Calibri"/>
              </w:rPr>
              <w:t>potetially</w:t>
            </w:r>
            <w:proofErr w:type="spellEnd"/>
            <w:r w:rsidR="00897A58"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leading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some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patients</w:t>
            </w:r>
            <w:proofErr w:type="spellEnd"/>
            <w:r w:rsidRPr="009255DB">
              <w:rPr>
                <w:rFonts w:cs="Calibri"/>
              </w:rPr>
              <w:t xml:space="preserve"> to </w:t>
            </w:r>
            <w:proofErr w:type="spellStart"/>
            <w:r w:rsidRPr="009255DB">
              <w:rPr>
                <w:rFonts w:cs="Calibri"/>
              </w:rPr>
              <w:t>experience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withdrawal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symptoms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between</w:t>
            </w:r>
            <w:proofErr w:type="spellEnd"/>
            <w:r w:rsidRPr="009255DB">
              <w:rPr>
                <w:rFonts w:cs="Calibri"/>
              </w:rPr>
              <w:t xml:space="preserve"> doses.</w:t>
            </w:r>
            <w:r w:rsidR="00384529" w:rsidRPr="009255DB">
              <w:rPr>
                <w:rFonts w:cs="Calibri"/>
                <w:vertAlign w:val="superscript"/>
              </w:rPr>
              <w:fldChar w:fldCharType="begin"/>
            </w:r>
            <w:r w:rsidR="00897A58" w:rsidRPr="009255DB">
              <w:rPr>
                <w:rFonts w:cs="Calibri"/>
                <w:vertAlign w:val="superscript"/>
              </w:rPr>
              <w:instrText xml:space="preserve"> NOTEREF _Ref55249958 \h  \* MERGEFORMAT </w:instrText>
            </w:r>
            <w:r w:rsidR="00384529" w:rsidRPr="009255DB">
              <w:rPr>
                <w:rFonts w:cs="Calibri"/>
                <w:vertAlign w:val="superscript"/>
              </w:rPr>
            </w:r>
            <w:r w:rsidR="00384529" w:rsidRPr="009255DB">
              <w:rPr>
                <w:rFonts w:cs="Calibri"/>
                <w:vertAlign w:val="superscript"/>
              </w:rPr>
              <w:fldChar w:fldCharType="separate"/>
            </w:r>
            <w:r w:rsidR="00897A58" w:rsidRPr="009255DB">
              <w:rPr>
                <w:rFonts w:cs="Calibri"/>
                <w:vertAlign w:val="superscript"/>
              </w:rPr>
              <w:t>3</w:t>
            </w:r>
            <w:r w:rsidR="00384529" w:rsidRPr="009255DB">
              <w:rPr>
                <w:rFonts w:cs="Calibri"/>
                <w:vertAlign w:val="superscript"/>
              </w:rPr>
              <w:fldChar w:fldCharType="end"/>
            </w:r>
            <w:r w:rsidRPr="009255DB">
              <w:rPr>
                <w:rFonts w:cs="Calibri"/>
              </w:rPr>
              <w:t>.</w:t>
            </w:r>
          </w:p>
          <w:p w14:paraId="30EF63C4" w14:textId="77777777" w:rsidR="007F7717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Frequent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visits</w:t>
            </w:r>
            <w:proofErr w:type="spellEnd"/>
            <w:r w:rsidRPr="009255DB">
              <w:rPr>
                <w:rFonts w:cs="Calibri"/>
              </w:rPr>
              <w:t xml:space="preserve"> to the </w:t>
            </w:r>
            <w:proofErr w:type="spellStart"/>
            <w:r w:rsidRPr="009255DB">
              <w:rPr>
                <w:rFonts w:cs="Calibri"/>
              </w:rPr>
              <w:t>clinic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pharmacy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limit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patients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quality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of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life</w:t>
            </w:r>
            <w:proofErr w:type="spellEnd"/>
            <w:r w:rsidR="001E38DD" w:rsidRPr="009255DB">
              <w:rPr>
                <w:rFonts w:cs="Calibri"/>
              </w:rPr>
              <w:t xml:space="preserve"> and </w:t>
            </w:r>
            <w:proofErr w:type="spellStart"/>
            <w:r w:rsidR="001E38DD" w:rsidRPr="009255DB">
              <w:rPr>
                <w:rFonts w:cs="Calibri"/>
              </w:rPr>
              <w:t>opportunites</w:t>
            </w:r>
            <w:proofErr w:type="spellEnd"/>
            <w:r w:rsidR="001E38DD" w:rsidRPr="009255DB">
              <w:rPr>
                <w:rFonts w:cs="Calibri"/>
              </w:rPr>
              <w:t xml:space="preserve"> to </w:t>
            </w:r>
            <w:proofErr w:type="spellStart"/>
            <w:r w:rsidR="001E38DD" w:rsidRPr="009255DB">
              <w:rPr>
                <w:rFonts w:cs="Calibri"/>
              </w:rPr>
              <w:t>do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normal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things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such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as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work</w:t>
            </w:r>
            <w:proofErr w:type="spellEnd"/>
            <w:r w:rsidR="001E38DD" w:rsidRPr="009255DB">
              <w:rPr>
                <w:rFonts w:cs="Calibri"/>
              </w:rPr>
              <w:t xml:space="preserve">, </w:t>
            </w:r>
            <w:proofErr w:type="spellStart"/>
            <w:r w:rsidR="001E38DD" w:rsidRPr="009255DB">
              <w:rPr>
                <w:rFonts w:cs="Calibri"/>
              </w:rPr>
              <w:t>go</w:t>
            </w:r>
            <w:proofErr w:type="spellEnd"/>
            <w:r w:rsidR="001E38DD" w:rsidRPr="009255DB">
              <w:rPr>
                <w:rFonts w:cs="Calibri"/>
              </w:rPr>
              <w:t xml:space="preserve"> to </w:t>
            </w:r>
            <w:proofErr w:type="spellStart"/>
            <w:r w:rsidR="001E38DD" w:rsidRPr="009255DB">
              <w:rPr>
                <w:rFonts w:cs="Calibri"/>
              </w:rPr>
              <w:t>college</w:t>
            </w:r>
            <w:proofErr w:type="spellEnd"/>
            <w:r w:rsidR="001E38DD" w:rsidRPr="009255DB">
              <w:rPr>
                <w:rFonts w:cs="Calibri"/>
              </w:rPr>
              <w:t xml:space="preserve">, </w:t>
            </w:r>
            <w:proofErr w:type="spellStart"/>
            <w:r w:rsidR="001E38DD" w:rsidRPr="009255DB">
              <w:rPr>
                <w:rFonts w:cs="Calibri"/>
              </w:rPr>
              <w:t>travel</w:t>
            </w:r>
            <w:proofErr w:type="spellEnd"/>
            <w:r w:rsidR="001E38DD" w:rsidRPr="009255DB">
              <w:rPr>
                <w:rFonts w:cs="Calibri"/>
              </w:rPr>
              <w:t>.</w:t>
            </w:r>
            <w:bookmarkStart w:id="5" w:name="_Ref55251428"/>
            <w:r w:rsidR="001E38DD" w:rsidRPr="009255DB">
              <w:rPr>
                <w:rStyle w:val="EndnoteReference"/>
                <w:rFonts w:cs="Calibri"/>
              </w:rPr>
              <w:endnoteReference w:id="9"/>
            </w:r>
            <w:bookmarkEnd w:id="5"/>
            <w:r w:rsidR="001E38DD" w:rsidRPr="009255DB">
              <w:rPr>
                <w:rFonts w:cs="Calibri"/>
              </w:rPr>
              <w:t xml:space="preserve"> </w:t>
            </w:r>
          </w:p>
          <w:p w14:paraId="6AD320E8" w14:textId="77777777" w:rsidR="005A083D" w:rsidRPr="009255DB" w:rsidRDefault="007F7717" w:rsidP="00681ECD">
            <w:pPr>
              <w:widowControl w:val="0"/>
              <w:numPr>
                <w:ilvl w:val="0"/>
                <w:numId w:val="10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2222EC" w:rsidRPr="009255DB">
              <w:rPr>
                <w:rFonts w:cs="Calibri"/>
              </w:rPr>
              <w:t>sublingual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tablets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can</w:t>
            </w:r>
            <w:proofErr w:type="spellEnd"/>
            <w:r w:rsidRPr="009255DB">
              <w:rPr>
                <w:rFonts w:cs="Calibri"/>
              </w:rPr>
              <w:t xml:space="preserve"> be </w:t>
            </w:r>
            <w:proofErr w:type="spellStart"/>
            <w:r w:rsidRPr="009255DB">
              <w:rPr>
                <w:rFonts w:cs="Calibri"/>
              </w:rPr>
              <w:t>diverted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illicit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use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accidentally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ingested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after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misidentification</w:t>
            </w:r>
            <w:proofErr w:type="spellEnd"/>
            <w:r w:rsidRPr="009255DB">
              <w:rPr>
                <w:rFonts w:cs="Calibri"/>
              </w:rPr>
              <w:t xml:space="preserve">, </w:t>
            </w:r>
            <w:proofErr w:type="spellStart"/>
            <w:r w:rsidRPr="009255DB">
              <w:rPr>
                <w:rFonts w:cs="Calibri"/>
              </w:rPr>
              <w:t>leading</w:t>
            </w:r>
            <w:proofErr w:type="spellEnd"/>
            <w:r w:rsidRPr="009255DB">
              <w:rPr>
                <w:rFonts w:cs="Calibri"/>
              </w:rPr>
              <w:t xml:space="preserve"> to a </w:t>
            </w:r>
            <w:proofErr w:type="spellStart"/>
            <w:r w:rsidRPr="009255DB">
              <w:rPr>
                <w:rFonts w:cs="Calibri"/>
              </w:rPr>
              <w:t>growing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public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health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issue</w:t>
            </w:r>
            <w:proofErr w:type="spellEnd"/>
            <w:r w:rsidR="001E38DD" w:rsidRPr="009255DB">
              <w:rPr>
                <w:rFonts w:cs="Calibri"/>
              </w:rPr>
              <w:t>.</w:t>
            </w:r>
            <w:r w:rsidR="001E38DD" w:rsidRPr="009255DB">
              <w:rPr>
                <w:rStyle w:val="EndnoteReference"/>
                <w:rFonts w:cs="Calibri"/>
              </w:rPr>
              <w:endnoteReference w:id="10"/>
            </w:r>
            <w:r w:rsidRPr="009255DB">
              <w:rPr>
                <w:rFonts w:cs="Calibri"/>
              </w:rPr>
              <w:t xml:space="preserve">. </w:t>
            </w:r>
            <w:proofErr w:type="spellStart"/>
            <w:r w:rsidRPr="009255DB">
              <w:rPr>
                <w:rFonts w:cs="Calibri"/>
              </w:rPr>
              <w:t>Accidental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poisoning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with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available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2222EC" w:rsidRPr="009255DB">
              <w:rPr>
                <w:rFonts w:cs="Calibri"/>
              </w:rPr>
              <w:t>sublingual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formulations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has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occurred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adults</w:t>
            </w:r>
            <w:proofErr w:type="spellEnd"/>
            <w:r w:rsidRPr="009255DB">
              <w:rPr>
                <w:rFonts w:cs="Calibri"/>
              </w:rPr>
              <w:t xml:space="preserve"> and </w:t>
            </w:r>
            <w:proofErr w:type="spellStart"/>
            <w:r w:rsidRPr="009255DB">
              <w:rPr>
                <w:rFonts w:cs="Calibri"/>
              </w:rPr>
              <w:t>children</w:t>
            </w:r>
            <w:proofErr w:type="spellEnd"/>
            <w:r w:rsidRPr="009255DB">
              <w:rPr>
                <w:rFonts w:cs="Calibri"/>
              </w:rPr>
              <w:t>.</w:t>
            </w:r>
            <w:r w:rsidR="00010267" w:rsidRPr="009255DB">
              <w:rPr>
                <w:rStyle w:val="EndnoteReference"/>
                <w:rFonts w:cs="Calibri"/>
              </w:rPr>
              <w:endnoteReference w:id="11"/>
            </w:r>
            <w:r w:rsidR="00010267" w:rsidRPr="009255DB">
              <w:rPr>
                <w:rFonts w:cs="Calibri"/>
                <w:vertAlign w:val="superscript"/>
              </w:rPr>
              <w:t>,</w:t>
            </w:r>
            <w:r w:rsidR="00010267" w:rsidRPr="009255DB">
              <w:rPr>
                <w:rStyle w:val="EndnoteReference"/>
                <w:rFonts w:cs="Calibri"/>
              </w:rPr>
              <w:endnoteReference w:id="12"/>
            </w:r>
            <w:r w:rsidRPr="009255DB">
              <w:rPr>
                <w:rFonts w:cs="Calibri"/>
              </w:rPr>
              <w:t xml:space="preserve"> </w:t>
            </w:r>
          </w:p>
          <w:p w14:paraId="40A241CB" w14:textId="77777777" w:rsidR="00BF612D" w:rsidRPr="009255DB" w:rsidRDefault="007F7717" w:rsidP="00681ECD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These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concerns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F0797A" w:rsidRPr="009255DB">
              <w:rPr>
                <w:rFonts w:cs="Calibri"/>
              </w:rPr>
              <w:t>highlight</w:t>
            </w:r>
            <w:proofErr w:type="spellEnd"/>
            <w:r w:rsidR="00F0797A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some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1E38DD" w:rsidRPr="009255DB">
              <w:rPr>
                <w:rFonts w:cs="Calibri"/>
              </w:rPr>
              <w:t>of</w:t>
            </w:r>
            <w:proofErr w:type="spellEnd"/>
            <w:r w:rsidR="001E38DD" w:rsidRPr="009255DB">
              <w:rPr>
                <w:rFonts w:cs="Calibri"/>
              </w:rPr>
              <w:t xml:space="preserve"> the </w:t>
            </w:r>
            <w:proofErr w:type="spellStart"/>
            <w:r w:rsidR="001E38DD" w:rsidRPr="009255DB">
              <w:rPr>
                <w:rFonts w:cs="Calibri"/>
              </w:rPr>
              <w:t>limitations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="008F4249" w:rsidRPr="009255DB">
              <w:rPr>
                <w:rFonts w:cs="Calibri"/>
              </w:rPr>
              <w:t>associated</w:t>
            </w:r>
            <w:proofErr w:type="spellEnd"/>
            <w:r w:rsidR="008F4249" w:rsidRPr="009255DB">
              <w:rPr>
                <w:rFonts w:cs="Calibri"/>
              </w:rPr>
              <w:t xml:space="preserve"> </w:t>
            </w:r>
            <w:proofErr w:type="spellStart"/>
            <w:r w:rsidR="008F4249" w:rsidRPr="009255DB">
              <w:rPr>
                <w:rFonts w:cs="Calibri"/>
              </w:rPr>
              <w:t>with</w:t>
            </w:r>
            <w:proofErr w:type="spellEnd"/>
            <w:r w:rsidR="008F4249" w:rsidRPr="009255DB">
              <w:rPr>
                <w:rFonts w:cs="Calibri"/>
              </w:rPr>
              <w:t xml:space="preserve"> </w:t>
            </w:r>
            <w:proofErr w:type="spellStart"/>
            <w:r w:rsidR="008F4249" w:rsidRPr="009255DB">
              <w:rPr>
                <w:rFonts w:cs="Calibri"/>
              </w:rPr>
              <w:t>oral</w:t>
            </w:r>
            <w:proofErr w:type="spellEnd"/>
            <w:r w:rsidR="008F4249" w:rsidRPr="009255DB">
              <w:rPr>
                <w:rFonts w:cs="Calibri"/>
              </w:rPr>
              <w:t xml:space="preserve"> </w:t>
            </w:r>
            <w:proofErr w:type="spellStart"/>
            <w:r w:rsidR="009938B2" w:rsidRPr="009255DB">
              <w:rPr>
                <w:rFonts w:cs="Calibri"/>
              </w:rPr>
              <w:t>buprenorphine</w:t>
            </w:r>
            <w:proofErr w:type="spellEnd"/>
            <w:r w:rsidR="009938B2" w:rsidRPr="009255DB">
              <w:rPr>
                <w:rFonts w:cs="Calibri"/>
              </w:rPr>
              <w:t xml:space="preserve"> </w:t>
            </w:r>
            <w:proofErr w:type="spellStart"/>
            <w:r w:rsidR="008F4249" w:rsidRPr="009255DB">
              <w:rPr>
                <w:rFonts w:cs="Calibri"/>
              </w:rPr>
              <w:t>preparations</w:t>
            </w:r>
            <w:proofErr w:type="spellEnd"/>
            <w:r w:rsidR="008F4249" w:rsidRPr="009255DB">
              <w:rPr>
                <w:rFonts w:cs="Calibri"/>
              </w:rPr>
              <w:t xml:space="preserve">, </w:t>
            </w:r>
            <w:r w:rsidRPr="009255DB">
              <w:rPr>
                <w:rFonts w:cs="Calibri"/>
              </w:rPr>
              <w:t xml:space="preserve">and the </w:t>
            </w:r>
            <w:proofErr w:type="spellStart"/>
            <w:r w:rsidR="001E38DD" w:rsidRPr="009255DB">
              <w:rPr>
                <w:rFonts w:cs="Calibri"/>
              </w:rPr>
              <w:t>opportunity</w:t>
            </w:r>
            <w:proofErr w:type="spellEnd"/>
            <w:r w:rsidR="001E38DD"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long-acting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buprenorphine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BF61DB" w:rsidRPr="009255DB">
              <w:rPr>
                <w:rFonts w:cs="Calibri"/>
              </w:rPr>
              <w:t>implants</w:t>
            </w:r>
            <w:proofErr w:type="spellEnd"/>
            <w:r w:rsidR="00523306" w:rsidRPr="009255DB">
              <w:rPr>
                <w:rFonts w:cs="Calibri"/>
              </w:rPr>
              <w:t xml:space="preserve">. </w:t>
            </w:r>
          </w:p>
          <w:p w14:paraId="2BC2D699" w14:textId="77777777" w:rsidR="00BF612D" w:rsidRPr="009255DB" w:rsidRDefault="00BF612D" w:rsidP="00681ECD">
            <w:pPr>
              <w:spacing w:after="0" w:line="240" w:lineRule="auto"/>
            </w:pPr>
          </w:p>
        </w:tc>
      </w:tr>
    </w:tbl>
    <w:p w14:paraId="23090425" w14:textId="77777777" w:rsidR="00C354DD" w:rsidRDefault="00C35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5054C" w:rsidRPr="00681ECD" w14:paraId="457E7ABB" w14:textId="77777777" w:rsidTr="00681ECD">
        <w:tc>
          <w:tcPr>
            <w:tcW w:w="8613" w:type="dxa"/>
            <w:shd w:val="clear" w:color="auto" w:fill="auto"/>
          </w:tcPr>
          <w:p w14:paraId="4CD5E9FD" w14:textId="5A775EB2" w:rsidR="009C3627" w:rsidRPr="009255DB" w:rsidRDefault="00B17578" w:rsidP="009255DB">
            <w:pPr>
              <w:pStyle w:val="Heading3"/>
              <w:spacing w:after="240" w:line="240" w:lineRule="auto"/>
              <w:rPr>
                <w:color w:val="auto"/>
              </w:rPr>
            </w:pPr>
            <w:r w:rsidRPr="00681ECD">
              <w:rPr>
                <w:color w:val="auto"/>
              </w:rPr>
              <w:t>7</w:t>
            </w:r>
            <w:r w:rsidR="0025054C" w:rsidRPr="00681ECD">
              <w:rPr>
                <w:color w:val="auto"/>
              </w:rPr>
              <w:t xml:space="preserve">. </w:t>
            </w:r>
            <w:proofErr w:type="spellStart"/>
            <w:r w:rsidR="0025054C" w:rsidRPr="00681ECD">
              <w:rPr>
                <w:color w:val="auto"/>
              </w:rPr>
              <w:t>Har</w:t>
            </w:r>
            <w:proofErr w:type="spellEnd"/>
            <w:r w:rsidR="0025054C" w:rsidRPr="00681ECD">
              <w:rPr>
                <w:color w:val="auto"/>
              </w:rPr>
              <w:t xml:space="preserve"> du </w:t>
            </w:r>
            <w:proofErr w:type="spellStart"/>
            <w:r w:rsidR="0025054C" w:rsidRPr="00681ECD">
              <w:rPr>
                <w:color w:val="auto"/>
              </w:rPr>
              <w:t>innspill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til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hva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som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vil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være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viktig</w:t>
            </w:r>
            <w:proofErr w:type="spellEnd"/>
            <w:r w:rsidR="0025054C" w:rsidRPr="00681ECD">
              <w:rPr>
                <w:color w:val="auto"/>
              </w:rPr>
              <w:t xml:space="preserve"> </w:t>
            </w:r>
            <w:proofErr w:type="spellStart"/>
            <w:r w:rsidR="0025054C" w:rsidRPr="00681ECD">
              <w:rPr>
                <w:color w:val="auto"/>
              </w:rPr>
              <w:t>for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pasienter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som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er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aktuelle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for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behandling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med</w:t>
            </w:r>
            <w:proofErr w:type="spellEnd"/>
            <w:r w:rsidR="00643E8D" w:rsidRPr="00681ECD">
              <w:rPr>
                <w:color w:val="auto"/>
              </w:rPr>
              <w:t xml:space="preserve"> </w:t>
            </w:r>
            <w:proofErr w:type="spellStart"/>
            <w:r w:rsidR="00643E8D" w:rsidRPr="00681ECD">
              <w:rPr>
                <w:color w:val="auto"/>
              </w:rPr>
              <w:t>metoden</w:t>
            </w:r>
            <w:proofErr w:type="spellEnd"/>
            <w:r w:rsidR="00643E8D" w:rsidRPr="00681ECD">
              <w:rPr>
                <w:color w:val="auto"/>
              </w:rPr>
              <w:t>?</w:t>
            </w:r>
            <w:r w:rsidR="0025054C" w:rsidRPr="00681ECD">
              <w:rPr>
                <w:color w:val="auto"/>
              </w:rPr>
              <w:t xml:space="preserve"> (PIC</w:t>
            </w:r>
            <w:r w:rsidR="0025054C" w:rsidRPr="00681ECD">
              <w:rPr>
                <w:color w:val="auto"/>
                <w:u w:val="single"/>
              </w:rPr>
              <w:t>O</w:t>
            </w:r>
            <w:r w:rsidR="0025054C" w:rsidRPr="00681ECD">
              <w:rPr>
                <w:color w:val="auto"/>
              </w:rPr>
              <w:t>)</w:t>
            </w:r>
          </w:p>
        </w:tc>
      </w:tr>
      <w:tr w:rsidR="0025054C" w:rsidRPr="00681ECD" w14:paraId="13E93E9A" w14:textId="77777777" w:rsidTr="00681ECD">
        <w:trPr>
          <w:trHeight w:val="501"/>
        </w:trPr>
        <w:tc>
          <w:tcPr>
            <w:tcW w:w="8613" w:type="dxa"/>
            <w:shd w:val="clear" w:color="auto" w:fill="auto"/>
          </w:tcPr>
          <w:p w14:paraId="20374063" w14:textId="77777777" w:rsidR="008B4F91" w:rsidRPr="00681ECD" w:rsidRDefault="002B3123" w:rsidP="00681ECD">
            <w:pPr>
              <w:spacing w:after="0" w:line="240" w:lineRule="auto"/>
            </w:pPr>
            <w:proofErr w:type="spellStart"/>
            <w:r w:rsidRPr="00681ECD">
              <w:t>Hva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kan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oppfattes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som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en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fordel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for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pasienter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og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brukere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med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denne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metoden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sammenlignet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med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aktuelle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alternativer</w:t>
            </w:r>
            <w:proofErr w:type="spellEnd"/>
            <w:r w:rsidRPr="00681ECD">
              <w:t xml:space="preserve">? </w:t>
            </w:r>
            <w:proofErr w:type="spellStart"/>
            <w:r w:rsidRPr="00681ECD">
              <w:t>Hvilke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endepunkter</w:t>
            </w:r>
            <w:proofErr w:type="spellEnd"/>
            <w:r w:rsidRPr="00681ECD">
              <w:t>/</w:t>
            </w:r>
            <w:proofErr w:type="spellStart"/>
            <w:r w:rsidRPr="00681ECD">
              <w:t>resultater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av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behandlingen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er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det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aktuelt</w:t>
            </w:r>
            <w:proofErr w:type="spellEnd"/>
            <w:r w:rsidRPr="00681ECD">
              <w:t xml:space="preserve"> å </w:t>
            </w:r>
            <w:proofErr w:type="spellStart"/>
            <w:r w:rsidRPr="00681ECD">
              <w:t>måle</w:t>
            </w:r>
            <w:proofErr w:type="spellEnd"/>
            <w:r w:rsidRPr="00681ECD">
              <w:t xml:space="preserve">? </w:t>
            </w:r>
            <w:proofErr w:type="spellStart"/>
            <w:r w:rsidR="008B4F91" w:rsidRPr="00681ECD">
              <w:t>Beskriv</w:t>
            </w:r>
            <w:proofErr w:type="spellEnd"/>
            <w:r w:rsidR="008B4F91" w:rsidRPr="00681ECD">
              <w:t xml:space="preserve"> </w:t>
            </w:r>
            <w:proofErr w:type="spellStart"/>
            <w:r w:rsidR="008B4F91" w:rsidRPr="00681ECD">
              <w:t>kortfattet</w:t>
            </w:r>
            <w:proofErr w:type="spellEnd"/>
            <w:r w:rsidR="008B4F91" w:rsidRPr="00681ECD">
              <w:t>:</w:t>
            </w:r>
          </w:p>
          <w:p w14:paraId="61467803" w14:textId="77777777" w:rsidR="00C517FD" w:rsidRPr="009255DB" w:rsidRDefault="00C517FD" w:rsidP="00681ECD">
            <w:pPr>
              <w:spacing w:after="0" w:line="240" w:lineRule="auto"/>
              <w:ind w:hanging="11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Sixmo</w:t>
            </w:r>
            <w:proofErr w:type="spellEnd"/>
            <w:r w:rsidRPr="009255DB">
              <w:rPr>
                <w:rFonts w:cs="Calibri"/>
                <w:vertAlign w:val="superscript"/>
              </w:rPr>
              <w:t>®</w:t>
            </w:r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represents</w:t>
            </w:r>
            <w:proofErr w:type="spellEnd"/>
            <w:r w:rsidRPr="009255DB">
              <w:rPr>
                <w:rFonts w:cs="Calibri"/>
              </w:rPr>
              <w:t xml:space="preserve"> a </w:t>
            </w:r>
            <w:proofErr w:type="spellStart"/>
            <w:r w:rsidRPr="009255DB">
              <w:rPr>
                <w:rFonts w:cs="Calibri"/>
              </w:rPr>
              <w:t>new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therapeutic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option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that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BF61DB" w:rsidRPr="009255DB">
              <w:rPr>
                <w:rFonts w:cs="Calibri"/>
              </w:rPr>
              <w:t>could</w:t>
            </w:r>
            <w:proofErr w:type="spellEnd"/>
            <w:r w:rsidR="00BF61DB"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address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="00817F9D" w:rsidRPr="009255DB">
              <w:rPr>
                <w:rFonts w:cs="Calibri"/>
              </w:rPr>
              <w:t>limitations</w:t>
            </w:r>
            <w:proofErr w:type="spellEnd"/>
            <w:r w:rsidR="005B1D1C" w:rsidRPr="009255DB">
              <w:rPr>
                <w:rFonts w:cs="Calibri"/>
              </w:rPr>
              <w:t xml:space="preserve"> </w:t>
            </w:r>
            <w:proofErr w:type="spellStart"/>
            <w:r w:rsidR="005B1D1C" w:rsidRPr="009255DB">
              <w:rPr>
                <w:rFonts w:cs="Calibri"/>
              </w:rPr>
              <w:t>associted</w:t>
            </w:r>
            <w:proofErr w:type="spellEnd"/>
            <w:r w:rsidR="005B1D1C" w:rsidRPr="009255DB">
              <w:rPr>
                <w:rFonts w:cs="Calibri"/>
              </w:rPr>
              <w:t xml:space="preserve"> </w:t>
            </w:r>
            <w:proofErr w:type="spellStart"/>
            <w:r w:rsidR="005B1D1C" w:rsidRPr="009255DB">
              <w:rPr>
                <w:rFonts w:cs="Calibri"/>
              </w:rPr>
              <w:t>with</w:t>
            </w:r>
            <w:proofErr w:type="spellEnd"/>
            <w:r w:rsidR="005B1D1C"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current</w:t>
            </w:r>
            <w:proofErr w:type="spellEnd"/>
            <w:r w:rsidR="005B1D1C" w:rsidRPr="009255DB">
              <w:rPr>
                <w:rFonts w:cs="Calibri"/>
              </w:rPr>
              <w:t xml:space="preserve"> </w:t>
            </w:r>
            <w:proofErr w:type="spellStart"/>
            <w:r w:rsidR="005B1D1C" w:rsidRPr="009255DB">
              <w:rPr>
                <w:rFonts w:cs="Calibri"/>
              </w:rPr>
              <w:t>alternatives</w:t>
            </w:r>
            <w:proofErr w:type="spellEnd"/>
            <w:r w:rsidRPr="009255DB">
              <w:rPr>
                <w:rFonts w:cs="Calibri"/>
              </w:rPr>
              <w:t xml:space="preserve">: </w:t>
            </w:r>
          </w:p>
          <w:p w14:paraId="6776FC02" w14:textId="77777777" w:rsidR="00C517FD" w:rsidRPr="009255DB" w:rsidRDefault="00BF61DB" w:rsidP="00681ECD">
            <w:pPr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17" w:hanging="284"/>
              <w:jc w:val="both"/>
              <w:rPr>
                <w:rFonts w:cs="Calibri"/>
              </w:rPr>
            </w:pPr>
            <w:r w:rsidRPr="009255DB">
              <w:rPr>
                <w:rFonts w:cs="Calibri"/>
              </w:rPr>
              <w:t xml:space="preserve">The </w:t>
            </w:r>
            <w:r w:rsidR="00C517FD" w:rsidRPr="009255DB">
              <w:rPr>
                <w:rFonts w:cs="Calibri"/>
              </w:rPr>
              <w:t xml:space="preserve">6-month </w:t>
            </w:r>
            <w:proofErr w:type="spellStart"/>
            <w:r w:rsidR="00C517FD" w:rsidRPr="009255DB">
              <w:rPr>
                <w:rFonts w:cs="Calibri"/>
              </w:rPr>
              <w:t>treatment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cycle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will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allow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for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long-term</w:t>
            </w:r>
            <w:proofErr w:type="spellEnd"/>
            <w:r w:rsidR="00C517FD" w:rsidRPr="009255DB">
              <w:rPr>
                <w:rFonts w:cs="Calibri"/>
              </w:rPr>
              <w:t xml:space="preserve"> </w:t>
            </w:r>
            <w:proofErr w:type="spellStart"/>
            <w:r w:rsidR="00C517FD" w:rsidRPr="009255DB">
              <w:rPr>
                <w:rFonts w:cs="Calibri"/>
              </w:rPr>
              <w:t>uninterrupted</w:t>
            </w:r>
            <w:proofErr w:type="spellEnd"/>
            <w:r w:rsidR="00C517FD" w:rsidRPr="009255DB">
              <w:rPr>
                <w:rFonts w:cs="Calibri"/>
              </w:rPr>
              <w:t xml:space="preserve"> therapy.</w:t>
            </w:r>
            <w:r w:rsidR="00384529" w:rsidRPr="009255DB">
              <w:rPr>
                <w:rFonts w:cs="Calibri"/>
                <w:vertAlign w:val="superscript"/>
              </w:rPr>
              <w:fldChar w:fldCharType="begin"/>
            </w:r>
            <w:r w:rsidR="00884A8C" w:rsidRPr="009255DB">
              <w:rPr>
                <w:rFonts w:cs="Calibri"/>
                <w:vertAlign w:val="superscript"/>
              </w:rPr>
              <w:instrText xml:space="preserve"> NOTEREF _Ref55246913 \h  \* MERGEFORMAT </w:instrText>
            </w:r>
            <w:r w:rsidR="00384529" w:rsidRPr="009255DB">
              <w:rPr>
                <w:rFonts w:cs="Calibri"/>
                <w:vertAlign w:val="superscript"/>
              </w:rPr>
            </w:r>
            <w:r w:rsidR="00384529" w:rsidRPr="009255DB">
              <w:rPr>
                <w:rFonts w:cs="Calibri"/>
                <w:vertAlign w:val="superscript"/>
              </w:rPr>
              <w:fldChar w:fldCharType="separate"/>
            </w:r>
            <w:r w:rsidR="00884A8C" w:rsidRPr="009255DB">
              <w:rPr>
                <w:rFonts w:cs="Calibri"/>
                <w:vertAlign w:val="superscript"/>
              </w:rPr>
              <w:t>1</w:t>
            </w:r>
            <w:r w:rsidR="00384529" w:rsidRPr="009255DB">
              <w:rPr>
                <w:rFonts w:cs="Calibri"/>
                <w:vertAlign w:val="superscript"/>
              </w:rPr>
              <w:fldChar w:fldCharType="end"/>
            </w:r>
          </w:p>
          <w:p w14:paraId="5AAEBF4D" w14:textId="77777777" w:rsidR="00C517FD" w:rsidRPr="009255DB" w:rsidRDefault="00BF61DB" w:rsidP="00681E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ind w:left="317" w:hanging="284"/>
              <w:contextualSpacing w:val="0"/>
              <w:jc w:val="both"/>
              <w:rPr>
                <w:rFonts w:cs="Calibri"/>
                <w:lang w:val="en-US"/>
              </w:rPr>
            </w:pPr>
            <w:r w:rsidRPr="009255DB">
              <w:rPr>
                <w:rFonts w:cs="Calibri"/>
                <w:lang w:val="en-US"/>
              </w:rPr>
              <w:t xml:space="preserve">The </w:t>
            </w:r>
            <w:r w:rsidR="00C517FD" w:rsidRPr="009255DB">
              <w:rPr>
                <w:rFonts w:cs="Calibri"/>
                <w:lang w:val="en-US"/>
              </w:rPr>
              <w:t xml:space="preserve">gradual release profile over time offers a lower degree of exposure to buprenorphine and substantially less variability in plasma levels of buprenorphine compared to </w:t>
            </w:r>
            <w:r w:rsidR="003A3838" w:rsidRPr="009255DB">
              <w:rPr>
                <w:rFonts w:cs="Calibri"/>
                <w:lang w:val="en-US"/>
              </w:rPr>
              <w:t>sublingual buprenorphine</w:t>
            </w:r>
            <w:r w:rsidR="00C517FD" w:rsidRPr="009255DB">
              <w:rPr>
                <w:rFonts w:cs="Calibri"/>
                <w:lang w:val="en-US"/>
              </w:rPr>
              <w:t>.</w:t>
            </w:r>
            <w:r w:rsidR="00384529" w:rsidRPr="009255DB">
              <w:rPr>
                <w:rFonts w:cs="Calibri"/>
                <w:vertAlign w:val="superscript"/>
                <w:lang w:val="en-US"/>
              </w:rPr>
              <w:fldChar w:fldCharType="begin"/>
            </w:r>
            <w:r w:rsidR="00884A8C" w:rsidRPr="009255DB">
              <w:rPr>
                <w:rFonts w:cs="Calibri"/>
                <w:vertAlign w:val="superscript"/>
                <w:lang w:val="en-US"/>
              </w:rPr>
              <w:instrText xml:space="preserve"> NOTEREF _Ref55249958 \h  \* MERGEFORMAT </w:instrText>
            </w:r>
            <w:r w:rsidR="00384529" w:rsidRPr="009255DB">
              <w:rPr>
                <w:rFonts w:cs="Calibri"/>
                <w:vertAlign w:val="superscript"/>
                <w:lang w:val="en-US"/>
              </w:rPr>
            </w:r>
            <w:r w:rsidR="00384529" w:rsidRPr="009255DB">
              <w:rPr>
                <w:rFonts w:cs="Calibri"/>
                <w:vertAlign w:val="superscript"/>
                <w:lang w:val="en-US"/>
              </w:rPr>
              <w:fldChar w:fldCharType="separate"/>
            </w:r>
            <w:r w:rsidR="00884A8C" w:rsidRPr="009255DB">
              <w:rPr>
                <w:rFonts w:cs="Calibri"/>
                <w:vertAlign w:val="superscript"/>
                <w:lang w:val="en-US"/>
              </w:rPr>
              <w:t>3</w:t>
            </w:r>
            <w:r w:rsidR="00384529" w:rsidRPr="009255DB">
              <w:rPr>
                <w:rFonts w:cs="Calibri"/>
                <w:vertAlign w:val="superscript"/>
                <w:lang w:val="en-US"/>
              </w:rPr>
              <w:fldChar w:fldCharType="end"/>
            </w:r>
          </w:p>
          <w:p w14:paraId="7CEDE05C" w14:textId="77777777" w:rsidR="00C517FD" w:rsidRPr="009255DB" w:rsidRDefault="00C517FD" w:rsidP="00681ECD">
            <w:pPr>
              <w:pStyle w:val="ListParagraph"/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9255DB">
              <w:rPr>
                <w:rFonts w:cs="Calibri"/>
              </w:rPr>
              <w:t xml:space="preserve">The 6-month </w:t>
            </w:r>
            <w:proofErr w:type="spellStart"/>
            <w:r w:rsidRPr="009255DB">
              <w:rPr>
                <w:rFonts w:cs="Calibri"/>
              </w:rPr>
              <w:t>implant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reduces</w:t>
            </w:r>
            <w:proofErr w:type="spellEnd"/>
            <w:r w:rsidR="00100517" w:rsidRPr="009255DB">
              <w:rPr>
                <w:rFonts w:cs="Calibri"/>
              </w:rPr>
              <w:t xml:space="preserve"> the </w:t>
            </w:r>
            <w:proofErr w:type="spellStart"/>
            <w:r w:rsidR="00100517" w:rsidRPr="009255DB">
              <w:rPr>
                <w:rFonts w:cs="Calibri"/>
              </w:rPr>
              <w:t>number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of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visits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for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patient</w:t>
            </w:r>
            <w:proofErr w:type="spellEnd"/>
            <w:r w:rsidR="00100517" w:rsidRPr="009255DB">
              <w:rPr>
                <w:rFonts w:cs="Calibri"/>
              </w:rPr>
              <w:t xml:space="preserve"> and </w:t>
            </w:r>
            <w:proofErr w:type="spellStart"/>
            <w:r w:rsidR="00100517" w:rsidRPr="009255DB">
              <w:rPr>
                <w:rFonts w:cs="Calibri"/>
              </w:rPr>
              <w:t>healthcare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professional</w:t>
            </w:r>
            <w:proofErr w:type="spellEnd"/>
            <w:r w:rsidR="00100517" w:rsidRPr="009255DB">
              <w:rPr>
                <w:rFonts w:cs="Calibri"/>
              </w:rPr>
              <w:t xml:space="preserve"> </w:t>
            </w:r>
            <w:proofErr w:type="spellStart"/>
            <w:r w:rsidR="00100517" w:rsidRPr="009255DB">
              <w:rPr>
                <w:rFonts w:cs="Calibri"/>
              </w:rPr>
              <w:t>which</w:t>
            </w:r>
            <w:proofErr w:type="spellEnd"/>
            <w:r w:rsidR="00100517" w:rsidRPr="009255DB">
              <w:rPr>
                <w:rFonts w:cs="Calibri"/>
              </w:rPr>
              <w:t xml:space="preserve"> are </w:t>
            </w:r>
            <w:proofErr w:type="spellStart"/>
            <w:r w:rsidR="00100517" w:rsidRPr="009255DB">
              <w:rPr>
                <w:rFonts w:cs="Calibri"/>
              </w:rPr>
              <w:t>cumbersome</w:t>
            </w:r>
            <w:proofErr w:type="spellEnd"/>
            <w:r w:rsidR="00100517" w:rsidRPr="009255DB">
              <w:rPr>
                <w:rFonts w:cs="Calibri"/>
              </w:rPr>
              <w:t xml:space="preserve">. </w:t>
            </w:r>
          </w:p>
          <w:p w14:paraId="4CC51F22" w14:textId="59EF4C44" w:rsidR="00C517FD" w:rsidRPr="009255DB" w:rsidRDefault="007635ED" w:rsidP="00681ECD">
            <w:pPr>
              <w:pStyle w:val="ListParagraph"/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Implant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formulation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reduces</w:t>
            </w:r>
            <w:proofErr w:type="spellEnd"/>
            <w:r w:rsidRPr="009255DB">
              <w:rPr>
                <w:rFonts w:cs="Calibri"/>
              </w:rPr>
              <w:t xml:space="preserve"> the risk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diversion</w:t>
            </w:r>
            <w:proofErr w:type="spellEnd"/>
            <w:r w:rsidRPr="009255DB">
              <w:rPr>
                <w:rFonts w:cs="Calibri"/>
              </w:rPr>
              <w:t xml:space="preserve"> and </w:t>
            </w:r>
            <w:proofErr w:type="spellStart"/>
            <w:r w:rsidRPr="009255DB">
              <w:rPr>
                <w:rFonts w:cs="Calibri"/>
              </w:rPr>
              <w:t>misuse</w:t>
            </w:r>
            <w:proofErr w:type="spellEnd"/>
            <w:r w:rsidRPr="009255DB">
              <w:rPr>
                <w:rFonts w:cs="Calibri"/>
              </w:rPr>
              <w:t>.</w:t>
            </w:r>
            <w:r w:rsidR="00C517FD" w:rsidRPr="009255DB">
              <w:rPr>
                <w:rFonts w:cs="Calibri"/>
              </w:rPr>
              <w:t xml:space="preserve"> </w:t>
            </w:r>
          </w:p>
          <w:p w14:paraId="414842FA" w14:textId="77777777" w:rsidR="00B454A4" w:rsidRPr="009255DB" w:rsidRDefault="00B454A4" w:rsidP="00681ECD">
            <w:pPr>
              <w:pStyle w:val="ListParagraph"/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Reduces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need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for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patients</w:t>
            </w:r>
            <w:proofErr w:type="spellEnd"/>
            <w:r w:rsidRPr="009255DB">
              <w:rPr>
                <w:rFonts w:cs="Calibri"/>
              </w:rPr>
              <w:t xml:space="preserve"> to </w:t>
            </w:r>
            <w:proofErr w:type="spellStart"/>
            <w:r w:rsidRPr="009255DB">
              <w:rPr>
                <w:rFonts w:cs="Calibri"/>
              </w:rPr>
              <w:t>attend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multicple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clinic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visits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in</w:t>
            </w:r>
            <w:proofErr w:type="spellEnd"/>
            <w:r w:rsidRPr="009255DB">
              <w:rPr>
                <w:rFonts w:cs="Calibri"/>
              </w:rPr>
              <w:t xml:space="preserve"> a </w:t>
            </w:r>
            <w:proofErr w:type="spellStart"/>
            <w:r w:rsidRPr="009255DB">
              <w:rPr>
                <w:rFonts w:cs="Calibri"/>
              </w:rPr>
              <w:t>pandemic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situation</w:t>
            </w:r>
            <w:proofErr w:type="spellEnd"/>
          </w:p>
          <w:p w14:paraId="0C3E52AE" w14:textId="77777777" w:rsidR="00B66FF5" w:rsidRPr="009255DB" w:rsidRDefault="00884A8C" w:rsidP="00681ECD">
            <w:pPr>
              <w:pStyle w:val="ListParagraph"/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proofErr w:type="spellStart"/>
            <w:r w:rsidRPr="009255DB">
              <w:rPr>
                <w:rFonts w:cs="Calibri"/>
              </w:rPr>
              <w:t>Implants</w:t>
            </w:r>
            <w:proofErr w:type="spellEnd"/>
            <w:r w:rsidRPr="009255DB">
              <w:rPr>
                <w:rFonts w:cs="Calibri"/>
              </w:rPr>
              <w:t xml:space="preserve"> are </w:t>
            </w:r>
            <w:proofErr w:type="spellStart"/>
            <w:r w:rsidRPr="009255DB">
              <w:rPr>
                <w:rFonts w:cs="Calibri"/>
              </w:rPr>
              <w:t>considered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as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least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stigmatising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of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all</w:t>
            </w:r>
            <w:proofErr w:type="spellEnd"/>
            <w:r w:rsidRPr="009255DB">
              <w:rPr>
                <w:rFonts w:cs="Calibri"/>
              </w:rPr>
              <w:t xml:space="preserve"> the </w:t>
            </w:r>
            <w:proofErr w:type="spellStart"/>
            <w:r w:rsidRPr="009255DB">
              <w:rPr>
                <w:rFonts w:cs="Calibri"/>
              </w:rPr>
              <w:t>given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opioid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substitution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treatments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considering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they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would</w:t>
            </w:r>
            <w:proofErr w:type="spellEnd"/>
            <w:r w:rsidRPr="009255DB">
              <w:rPr>
                <w:rFonts w:cs="Calibri"/>
              </w:rPr>
              <w:t xml:space="preserve"> be </w:t>
            </w:r>
            <w:proofErr w:type="spellStart"/>
            <w:r w:rsidRPr="009255DB">
              <w:rPr>
                <w:rFonts w:cs="Calibri"/>
              </w:rPr>
              <w:t>invisible</w:t>
            </w:r>
            <w:proofErr w:type="spellEnd"/>
            <w:r w:rsidRPr="009255DB">
              <w:rPr>
                <w:rFonts w:cs="Calibri"/>
              </w:rPr>
              <w:t xml:space="preserve"> to </w:t>
            </w:r>
            <w:proofErr w:type="spellStart"/>
            <w:r w:rsidRPr="009255DB">
              <w:rPr>
                <w:rFonts w:cs="Calibri"/>
              </w:rPr>
              <w:t>others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once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they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have</w:t>
            </w:r>
            <w:proofErr w:type="spellEnd"/>
            <w:r w:rsidRPr="009255DB">
              <w:rPr>
                <w:rFonts w:cs="Calibri"/>
              </w:rPr>
              <w:t xml:space="preserve"> </w:t>
            </w:r>
            <w:proofErr w:type="spellStart"/>
            <w:r w:rsidRPr="009255DB">
              <w:rPr>
                <w:rFonts w:cs="Calibri"/>
              </w:rPr>
              <w:t>been</w:t>
            </w:r>
            <w:proofErr w:type="spellEnd"/>
            <w:r w:rsidRPr="009255DB">
              <w:rPr>
                <w:rFonts w:cs="Calibri"/>
              </w:rPr>
              <w:t xml:space="preserve"> admistered.</w:t>
            </w:r>
            <w:r w:rsidR="00384529" w:rsidRPr="009255DB">
              <w:rPr>
                <w:rFonts w:cs="Calibri"/>
                <w:vertAlign w:val="superscript"/>
              </w:rPr>
              <w:fldChar w:fldCharType="begin"/>
            </w:r>
            <w:r w:rsidRPr="009255DB">
              <w:rPr>
                <w:rFonts w:cs="Calibri"/>
                <w:vertAlign w:val="superscript"/>
              </w:rPr>
              <w:instrText xml:space="preserve"> NOTEREF _Ref55251428 \h  \* MERGEFORMAT </w:instrText>
            </w:r>
            <w:r w:rsidR="00384529" w:rsidRPr="009255DB">
              <w:rPr>
                <w:rFonts w:cs="Calibri"/>
                <w:vertAlign w:val="superscript"/>
              </w:rPr>
            </w:r>
            <w:r w:rsidR="00384529" w:rsidRPr="009255DB">
              <w:rPr>
                <w:rFonts w:cs="Calibri"/>
                <w:vertAlign w:val="superscript"/>
              </w:rPr>
              <w:fldChar w:fldCharType="separate"/>
            </w:r>
            <w:r w:rsidRPr="009255DB">
              <w:rPr>
                <w:rFonts w:cs="Calibri"/>
                <w:vertAlign w:val="superscript"/>
              </w:rPr>
              <w:t>8</w:t>
            </w:r>
            <w:r w:rsidR="00384529" w:rsidRPr="009255DB">
              <w:rPr>
                <w:rFonts w:cs="Calibri"/>
                <w:vertAlign w:val="superscript"/>
              </w:rPr>
              <w:fldChar w:fldCharType="end"/>
            </w:r>
            <w:r w:rsidRPr="009255DB">
              <w:rPr>
                <w:rFonts w:cs="Calibri"/>
              </w:rPr>
              <w:t xml:space="preserve"> </w:t>
            </w:r>
          </w:p>
          <w:p w14:paraId="086132DF" w14:textId="7F2FCF19" w:rsidR="003A3838" w:rsidRPr="00942860" w:rsidRDefault="00BF612D" w:rsidP="00942860">
            <w:pPr>
              <w:spacing w:after="0" w:line="240" w:lineRule="auto"/>
              <w:jc w:val="both"/>
              <w:rPr>
                <w:rFonts w:cs="Calibri"/>
                <w:color w:val="FF0000"/>
              </w:rPr>
            </w:pPr>
            <w:r w:rsidRPr="009255DB">
              <w:rPr>
                <w:b/>
                <w:bCs/>
              </w:rPr>
              <w:t xml:space="preserve">It </w:t>
            </w:r>
            <w:proofErr w:type="spellStart"/>
            <w:r w:rsidRPr="009255DB">
              <w:rPr>
                <w:b/>
                <w:bCs/>
              </w:rPr>
              <w:t>is</w:t>
            </w:r>
            <w:proofErr w:type="spellEnd"/>
            <w:r w:rsidRPr="009255DB">
              <w:rPr>
                <w:b/>
                <w:bCs/>
              </w:rPr>
              <w:t xml:space="preserve"> </w:t>
            </w:r>
            <w:proofErr w:type="spellStart"/>
            <w:r w:rsidRPr="009255DB">
              <w:rPr>
                <w:b/>
                <w:bCs/>
              </w:rPr>
              <w:t>relevant</w:t>
            </w:r>
            <w:proofErr w:type="spellEnd"/>
            <w:r w:rsidRPr="009255DB">
              <w:rPr>
                <w:b/>
                <w:bCs/>
              </w:rPr>
              <w:t xml:space="preserve"> to </w:t>
            </w:r>
            <w:proofErr w:type="spellStart"/>
            <w:r w:rsidRPr="009255DB">
              <w:rPr>
                <w:b/>
                <w:bCs/>
              </w:rPr>
              <w:t>measure</w:t>
            </w:r>
            <w:proofErr w:type="spellEnd"/>
            <w:r w:rsidRPr="009255DB">
              <w:rPr>
                <w:b/>
                <w:bCs/>
              </w:rPr>
              <w:t xml:space="preserve"> </w:t>
            </w:r>
            <w:proofErr w:type="spellStart"/>
            <w:r w:rsidRPr="009255DB">
              <w:rPr>
                <w:b/>
                <w:bCs/>
              </w:rPr>
              <w:t>following</w:t>
            </w:r>
            <w:proofErr w:type="spellEnd"/>
            <w:r w:rsidRPr="009255DB">
              <w:rPr>
                <w:b/>
                <w:bCs/>
              </w:rPr>
              <w:t xml:space="preserve"> </w:t>
            </w:r>
            <w:proofErr w:type="spellStart"/>
            <w:r w:rsidRPr="009255DB">
              <w:rPr>
                <w:b/>
                <w:bCs/>
              </w:rPr>
              <w:t>outcomes</w:t>
            </w:r>
            <w:proofErr w:type="spellEnd"/>
            <w:r w:rsidR="00D806FF" w:rsidRPr="009255DB">
              <w:rPr>
                <w:b/>
                <w:bCs/>
              </w:rPr>
              <w:t>:</w:t>
            </w:r>
            <w:r w:rsidR="00D806FF" w:rsidRPr="009255DB">
              <w:t xml:space="preserve"> </w:t>
            </w:r>
            <w:proofErr w:type="spellStart"/>
            <w:r w:rsidR="008214FB" w:rsidRPr="009255DB">
              <w:t>evidence</w:t>
            </w:r>
            <w:proofErr w:type="spellEnd"/>
            <w:r w:rsidR="008214FB" w:rsidRPr="009255DB">
              <w:t xml:space="preserve"> </w:t>
            </w:r>
            <w:proofErr w:type="spellStart"/>
            <w:r w:rsidR="008214FB" w:rsidRPr="009255DB">
              <w:t>of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illicit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opioid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use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using</w:t>
            </w:r>
            <w:proofErr w:type="spellEnd"/>
            <w:r w:rsidR="0025634E" w:rsidRPr="009255DB">
              <w:t xml:space="preserve">  </w:t>
            </w:r>
            <w:proofErr w:type="spellStart"/>
            <w:r w:rsidR="0025634E" w:rsidRPr="009255DB">
              <w:t>self-reported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outcomes</w:t>
            </w:r>
            <w:proofErr w:type="spellEnd"/>
            <w:r w:rsidR="0025634E" w:rsidRPr="009255DB">
              <w:t xml:space="preserve"> and/</w:t>
            </w:r>
            <w:proofErr w:type="spellStart"/>
            <w:r w:rsidR="0025634E" w:rsidRPr="009255DB">
              <w:t>or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urine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samples</w:t>
            </w:r>
            <w:proofErr w:type="spellEnd"/>
            <w:r w:rsidR="00E45C83" w:rsidRPr="009255DB">
              <w:t xml:space="preserve">, </w:t>
            </w:r>
            <w:proofErr w:type="spellStart"/>
            <w:r w:rsidR="00D806FF" w:rsidRPr="009255DB">
              <w:t>retention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in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treatment</w:t>
            </w:r>
            <w:proofErr w:type="spellEnd"/>
            <w:r w:rsidR="00D806FF" w:rsidRPr="009255DB">
              <w:t xml:space="preserve">, </w:t>
            </w:r>
            <w:proofErr w:type="spellStart"/>
            <w:r w:rsidR="001679D4" w:rsidRPr="009255DB">
              <w:t>withdrawal</w:t>
            </w:r>
            <w:proofErr w:type="spellEnd"/>
            <w:r w:rsidR="001679D4" w:rsidRPr="009255DB">
              <w:t xml:space="preserve"> </w:t>
            </w:r>
            <w:proofErr w:type="spellStart"/>
            <w:r w:rsidR="001679D4" w:rsidRPr="009255DB">
              <w:t>symptoms</w:t>
            </w:r>
            <w:proofErr w:type="spellEnd"/>
            <w:r w:rsidR="001679D4" w:rsidRPr="009255DB">
              <w:t xml:space="preserve"> </w:t>
            </w:r>
            <w:proofErr w:type="spellStart"/>
            <w:r w:rsidR="001679D4" w:rsidRPr="009255DB">
              <w:t>or</w:t>
            </w:r>
            <w:proofErr w:type="spellEnd"/>
            <w:r w:rsidR="001679D4" w:rsidRPr="009255DB">
              <w:t xml:space="preserve"> </w:t>
            </w:r>
            <w:proofErr w:type="spellStart"/>
            <w:r w:rsidR="001679D4" w:rsidRPr="009255DB">
              <w:t>opioid</w:t>
            </w:r>
            <w:proofErr w:type="spellEnd"/>
            <w:r w:rsidR="001679D4" w:rsidRPr="009255DB">
              <w:t xml:space="preserve"> </w:t>
            </w:r>
            <w:proofErr w:type="spellStart"/>
            <w:r w:rsidR="001679D4" w:rsidRPr="009255DB">
              <w:t>cravings</w:t>
            </w:r>
            <w:proofErr w:type="spellEnd"/>
            <w:r w:rsidR="001679D4" w:rsidRPr="009255DB">
              <w:t>,</w:t>
            </w:r>
            <w:r w:rsidR="000277FD" w:rsidRPr="009255DB">
              <w:t xml:space="preserve"> </w:t>
            </w:r>
            <w:proofErr w:type="spellStart"/>
            <w:r w:rsidR="00D806FF" w:rsidRPr="009255DB">
              <w:t>resource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use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associated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with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administration</w:t>
            </w:r>
            <w:proofErr w:type="spellEnd"/>
            <w:r w:rsidR="00D806FF" w:rsidRPr="009255DB">
              <w:t xml:space="preserve"> and </w:t>
            </w:r>
            <w:proofErr w:type="spellStart"/>
            <w:r w:rsidR="00D806FF" w:rsidRPr="009255DB">
              <w:t>supervision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of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consumption</w:t>
            </w:r>
            <w:proofErr w:type="spellEnd"/>
            <w:r w:rsidR="00D806FF" w:rsidRPr="009255DB">
              <w:t xml:space="preserve"> </w:t>
            </w:r>
            <w:proofErr w:type="spellStart"/>
            <w:r w:rsidR="00D806FF" w:rsidRPr="009255DB">
              <w:t>of</w:t>
            </w:r>
            <w:proofErr w:type="spellEnd"/>
            <w:r w:rsidR="00D806FF" w:rsidRPr="009255DB">
              <w:t xml:space="preserve"> the </w:t>
            </w:r>
            <w:proofErr w:type="spellStart"/>
            <w:r w:rsidR="00D806FF" w:rsidRPr="009255DB">
              <w:t>intervention</w:t>
            </w:r>
            <w:proofErr w:type="spellEnd"/>
            <w:r w:rsidR="00D806FF" w:rsidRPr="009255DB">
              <w:t xml:space="preserve"> and </w:t>
            </w:r>
            <w:proofErr w:type="spellStart"/>
            <w:r w:rsidR="00D806FF" w:rsidRPr="009255DB">
              <w:t>comparator</w:t>
            </w:r>
            <w:proofErr w:type="spellEnd"/>
            <w:r w:rsidR="0025634E" w:rsidRPr="009255DB">
              <w:t xml:space="preserve">, </w:t>
            </w:r>
            <w:proofErr w:type="spellStart"/>
            <w:r w:rsidR="0025634E" w:rsidRPr="009255DB">
              <w:t>quality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of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life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due</w:t>
            </w:r>
            <w:proofErr w:type="spellEnd"/>
            <w:r w:rsidR="0025634E" w:rsidRPr="009255DB">
              <w:t xml:space="preserve"> to </w:t>
            </w:r>
            <w:proofErr w:type="spellStart"/>
            <w:r w:rsidR="0025634E" w:rsidRPr="009255DB">
              <w:t>reduced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need</w:t>
            </w:r>
            <w:proofErr w:type="spellEnd"/>
            <w:r w:rsidR="0025634E" w:rsidRPr="009255DB">
              <w:t xml:space="preserve"> to </w:t>
            </w:r>
            <w:proofErr w:type="spellStart"/>
            <w:r w:rsidR="0025634E" w:rsidRPr="009255DB">
              <w:t>attend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clinics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on</w:t>
            </w:r>
            <w:proofErr w:type="spellEnd"/>
            <w:r w:rsidR="0025634E" w:rsidRPr="009255DB">
              <w:t xml:space="preserve"> a </w:t>
            </w:r>
            <w:proofErr w:type="spellStart"/>
            <w:r w:rsidR="0025634E" w:rsidRPr="009255DB">
              <w:t>daily</w:t>
            </w:r>
            <w:proofErr w:type="spellEnd"/>
            <w:r w:rsidR="0025634E" w:rsidRPr="009255DB">
              <w:t xml:space="preserve"> </w:t>
            </w:r>
            <w:proofErr w:type="spellStart"/>
            <w:r w:rsidR="0025634E" w:rsidRPr="009255DB">
              <w:t>basis</w:t>
            </w:r>
            <w:proofErr w:type="spellEnd"/>
            <w:r w:rsidR="00D806FF" w:rsidRPr="009255DB">
              <w:t>.</w:t>
            </w:r>
          </w:p>
        </w:tc>
      </w:tr>
    </w:tbl>
    <w:p w14:paraId="76134626" w14:textId="6A2AA9FB" w:rsidR="00643E8D" w:rsidRDefault="008B6689">
      <w: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354DD" w:rsidRPr="00681ECD" w14:paraId="59269AE9" w14:textId="77777777" w:rsidTr="00681ECD">
        <w:trPr>
          <w:trHeight w:val="314"/>
        </w:trPr>
        <w:tc>
          <w:tcPr>
            <w:tcW w:w="8613" w:type="dxa"/>
            <w:shd w:val="clear" w:color="auto" w:fill="auto"/>
          </w:tcPr>
          <w:p w14:paraId="620AF359" w14:textId="20FA3CFA" w:rsidR="009C3627" w:rsidRPr="009255DB" w:rsidRDefault="00B17578" w:rsidP="009255DB">
            <w:pPr>
              <w:pStyle w:val="Heading3"/>
              <w:spacing w:after="240" w:line="240" w:lineRule="auto"/>
              <w:rPr>
                <w:color w:val="auto"/>
              </w:rPr>
            </w:pPr>
            <w:r w:rsidRPr="00681ECD">
              <w:rPr>
                <w:color w:val="auto"/>
              </w:rPr>
              <w:t>8</w:t>
            </w:r>
            <w:r w:rsidR="00C354DD" w:rsidRPr="00681ECD">
              <w:rPr>
                <w:color w:val="auto"/>
              </w:rPr>
              <w:t xml:space="preserve">. </w:t>
            </w:r>
            <w:proofErr w:type="spellStart"/>
            <w:r w:rsidR="00C354DD" w:rsidRPr="00681ECD">
              <w:rPr>
                <w:color w:val="auto"/>
              </w:rPr>
              <w:t>Spesielt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for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medisinsk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utstyr</w:t>
            </w:r>
            <w:proofErr w:type="spellEnd"/>
            <w:r w:rsidR="00C354DD" w:rsidRPr="00681ECD">
              <w:rPr>
                <w:color w:val="auto"/>
              </w:rPr>
              <w:t xml:space="preserve"> (</w:t>
            </w:r>
            <w:proofErr w:type="spellStart"/>
            <w:r w:rsidR="00C354DD" w:rsidRPr="00681ECD">
              <w:rPr>
                <w:color w:val="auto"/>
              </w:rPr>
              <w:t>besvares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av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leverandør</w:t>
            </w:r>
            <w:proofErr w:type="spellEnd"/>
            <w:r w:rsidR="00C354DD" w:rsidRPr="00681ECD">
              <w:rPr>
                <w:color w:val="auto"/>
              </w:rPr>
              <w:t>)</w:t>
            </w:r>
            <w:r w:rsidR="002B3123" w:rsidRPr="00681ECD">
              <w:rPr>
                <w:color w:val="auto"/>
              </w:rPr>
              <w:t>: CE-</w:t>
            </w:r>
            <w:proofErr w:type="spellStart"/>
            <w:r w:rsidR="002B3123" w:rsidRPr="00681ECD">
              <w:rPr>
                <w:color w:val="auto"/>
              </w:rPr>
              <w:t>merking</w:t>
            </w:r>
            <w:proofErr w:type="spellEnd"/>
          </w:p>
        </w:tc>
      </w:tr>
      <w:tr w:rsidR="00C354DD" w:rsidRPr="00681ECD" w14:paraId="0F7D602F" w14:textId="77777777" w:rsidTr="00681ECD">
        <w:trPr>
          <w:trHeight w:val="324"/>
        </w:trPr>
        <w:tc>
          <w:tcPr>
            <w:tcW w:w="8613" w:type="dxa"/>
            <w:shd w:val="clear" w:color="auto" w:fill="auto"/>
          </w:tcPr>
          <w:p w14:paraId="3911C6F8" w14:textId="77777777" w:rsidR="002B3123" w:rsidRPr="00681ECD" w:rsidRDefault="002B3123" w:rsidP="00681ECD">
            <w:pPr>
              <w:spacing w:after="0" w:line="240" w:lineRule="auto"/>
            </w:pPr>
            <w:proofErr w:type="spellStart"/>
            <w:r w:rsidRPr="00681ECD">
              <w:t>Foreligger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det</w:t>
            </w:r>
            <w:proofErr w:type="spellEnd"/>
            <w:r w:rsidRPr="00681ECD">
              <w:t xml:space="preserve"> CE-</w:t>
            </w:r>
            <w:proofErr w:type="spellStart"/>
            <w:r w:rsidRPr="00681ECD">
              <w:t>merking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for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bruksområdet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som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beskrives</w:t>
            </w:r>
            <w:proofErr w:type="spellEnd"/>
            <w:r w:rsidRPr="00681ECD">
              <w:t xml:space="preserve"> i </w:t>
            </w:r>
            <w:proofErr w:type="spellStart"/>
            <w:r w:rsidRPr="00681ECD">
              <w:t>metoden</w:t>
            </w:r>
            <w:proofErr w:type="spellEnd"/>
            <w:r w:rsidRPr="00681ECD">
              <w:t xml:space="preserve">? I </w:t>
            </w:r>
            <w:proofErr w:type="spellStart"/>
            <w:r w:rsidRPr="00681ECD">
              <w:t>så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fall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angi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type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og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tidspunkt</w:t>
            </w:r>
            <w:proofErr w:type="spellEnd"/>
            <w:r w:rsidRPr="00681ECD">
              <w:t>:</w:t>
            </w:r>
            <w:r w:rsidR="009C3627" w:rsidRPr="00681ECD">
              <w:t xml:space="preserve"> </w:t>
            </w:r>
          </w:p>
          <w:p w14:paraId="7A0AE844" w14:textId="3B020475" w:rsidR="00821413" w:rsidRPr="009255DB" w:rsidRDefault="00CF509A" w:rsidP="00681ECD">
            <w:pPr>
              <w:spacing w:after="0" w:line="240" w:lineRule="auto"/>
              <w:rPr>
                <w:iCs/>
              </w:rPr>
            </w:pPr>
            <w:proofErr w:type="spellStart"/>
            <w:r w:rsidRPr="009255DB">
              <w:rPr>
                <w:iCs/>
              </w:rPr>
              <w:lastRenderedPageBreak/>
              <w:t>Yes</w:t>
            </w:r>
            <w:proofErr w:type="spellEnd"/>
            <w:r w:rsidRPr="009255DB">
              <w:rPr>
                <w:iCs/>
              </w:rPr>
              <w:t>,</w:t>
            </w:r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Sixmo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implants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come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with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an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applicator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which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is</w:t>
            </w:r>
            <w:proofErr w:type="spellEnd"/>
            <w:r w:rsidR="005A04E8" w:rsidRPr="009255DB">
              <w:rPr>
                <w:iCs/>
              </w:rPr>
              <w:t xml:space="preserve"> a </w:t>
            </w:r>
            <w:proofErr w:type="spellStart"/>
            <w:r w:rsidR="005A04E8" w:rsidRPr="009255DB">
              <w:rPr>
                <w:iCs/>
              </w:rPr>
              <w:t>class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IIa</w:t>
            </w:r>
            <w:proofErr w:type="spellEnd"/>
            <w:r w:rsidR="005A04E8" w:rsidRPr="009255DB">
              <w:rPr>
                <w:iCs/>
              </w:rPr>
              <w:t xml:space="preserve"> </w:t>
            </w:r>
            <w:proofErr w:type="spellStart"/>
            <w:r w:rsidR="005A04E8" w:rsidRPr="009255DB">
              <w:rPr>
                <w:iCs/>
              </w:rPr>
              <w:t>device</w:t>
            </w:r>
            <w:proofErr w:type="spellEnd"/>
          </w:p>
        </w:tc>
      </w:tr>
    </w:tbl>
    <w:p w14:paraId="57DF98B4" w14:textId="77777777" w:rsidR="003E11D8" w:rsidRDefault="003E11D8" w:rsidP="003E1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079D3" w:rsidRPr="00681ECD" w14:paraId="0A600C8B" w14:textId="77777777" w:rsidTr="00681ECD">
        <w:tc>
          <w:tcPr>
            <w:tcW w:w="8613" w:type="dxa"/>
            <w:shd w:val="clear" w:color="auto" w:fill="auto"/>
          </w:tcPr>
          <w:p w14:paraId="5F34DF1C" w14:textId="12394B40" w:rsidR="009C3627" w:rsidRPr="009255DB" w:rsidRDefault="00B17578" w:rsidP="009255DB">
            <w:pPr>
              <w:pStyle w:val="Heading3"/>
              <w:spacing w:after="240" w:line="240" w:lineRule="auto"/>
              <w:rPr>
                <w:color w:val="auto"/>
              </w:rPr>
            </w:pPr>
            <w:r w:rsidRPr="00681ECD">
              <w:rPr>
                <w:color w:val="auto"/>
              </w:rPr>
              <w:t>9</w:t>
            </w:r>
            <w:r w:rsidR="005079D3" w:rsidRPr="00681ECD">
              <w:rPr>
                <w:color w:val="auto"/>
              </w:rPr>
              <w:t xml:space="preserve">. </w:t>
            </w:r>
            <w:proofErr w:type="spellStart"/>
            <w:r w:rsidR="005079D3" w:rsidRPr="00681ECD">
              <w:rPr>
                <w:color w:val="auto"/>
              </w:rPr>
              <w:t>Spesielt</w:t>
            </w:r>
            <w:proofErr w:type="spellEnd"/>
            <w:r w:rsidR="005079D3" w:rsidRPr="00681ECD">
              <w:rPr>
                <w:color w:val="auto"/>
              </w:rPr>
              <w:t xml:space="preserve"> </w:t>
            </w:r>
            <w:proofErr w:type="spellStart"/>
            <w:r w:rsidR="005079D3" w:rsidRPr="00681ECD">
              <w:rPr>
                <w:color w:val="auto"/>
              </w:rPr>
              <w:t>for</w:t>
            </w:r>
            <w:proofErr w:type="spellEnd"/>
            <w:r w:rsidR="005079D3" w:rsidRPr="00681ECD">
              <w:rPr>
                <w:color w:val="auto"/>
              </w:rPr>
              <w:t xml:space="preserve"> legemidler </w:t>
            </w:r>
            <w:r w:rsidR="00C354DD" w:rsidRPr="00681ECD">
              <w:rPr>
                <w:color w:val="auto"/>
              </w:rPr>
              <w:t>(</w:t>
            </w:r>
            <w:proofErr w:type="spellStart"/>
            <w:r w:rsidR="00C354DD" w:rsidRPr="00681ECD">
              <w:rPr>
                <w:color w:val="auto"/>
              </w:rPr>
              <w:t>besvares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av</w:t>
            </w:r>
            <w:proofErr w:type="spellEnd"/>
            <w:r w:rsidR="00C354DD" w:rsidRPr="00681ECD">
              <w:rPr>
                <w:color w:val="auto"/>
              </w:rPr>
              <w:t xml:space="preserve"> </w:t>
            </w:r>
            <w:proofErr w:type="spellStart"/>
            <w:r w:rsidR="00C354DD" w:rsidRPr="00681ECD">
              <w:rPr>
                <w:color w:val="auto"/>
              </w:rPr>
              <w:t>leverandør</w:t>
            </w:r>
            <w:proofErr w:type="spellEnd"/>
            <w:r w:rsidR="00C354DD" w:rsidRPr="00681ECD">
              <w:rPr>
                <w:color w:val="auto"/>
              </w:rPr>
              <w:t>)</w:t>
            </w:r>
            <w:r w:rsidR="002B3123" w:rsidRPr="00681ECD">
              <w:rPr>
                <w:color w:val="auto"/>
              </w:rPr>
              <w:t xml:space="preserve">: </w:t>
            </w:r>
            <w:proofErr w:type="spellStart"/>
            <w:r w:rsidR="002B3123" w:rsidRPr="00681ECD">
              <w:rPr>
                <w:color w:val="auto"/>
              </w:rPr>
              <w:t>Markedsføringstillatelse</w:t>
            </w:r>
            <w:proofErr w:type="spellEnd"/>
            <w:r w:rsidR="002B3123" w:rsidRPr="00681ECD">
              <w:rPr>
                <w:color w:val="auto"/>
              </w:rPr>
              <w:t xml:space="preserve"> (MT)</w:t>
            </w:r>
          </w:p>
        </w:tc>
      </w:tr>
      <w:tr w:rsidR="005079D3" w:rsidRPr="00681ECD" w14:paraId="252E4EBE" w14:textId="77777777" w:rsidTr="00681ECD">
        <w:trPr>
          <w:trHeight w:val="725"/>
        </w:trPr>
        <w:tc>
          <w:tcPr>
            <w:tcW w:w="8613" w:type="dxa"/>
            <w:shd w:val="clear" w:color="auto" w:fill="auto"/>
          </w:tcPr>
          <w:p w14:paraId="21CDDC08" w14:textId="77777777" w:rsidR="005079D3" w:rsidRPr="00681ECD" w:rsidRDefault="002B3123" w:rsidP="00681ECD">
            <w:pPr>
              <w:spacing w:after="0" w:line="240" w:lineRule="auto"/>
            </w:pPr>
            <w:proofErr w:type="spellStart"/>
            <w:r w:rsidRPr="00681ECD">
              <w:t>Har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legemiddelet</w:t>
            </w:r>
            <w:proofErr w:type="spellEnd"/>
            <w:r w:rsidRPr="00681ECD">
              <w:t xml:space="preserve"> MT </w:t>
            </w:r>
            <w:proofErr w:type="spellStart"/>
            <w:r w:rsidRPr="00681ECD">
              <w:t>for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indikasjonen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som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omfattes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av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metoden</w:t>
            </w:r>
            <w:proofErr w:type="spellEnd"/>
            <w:r w:rsidRPr="00681ECD">
              <w:t xml:space="preserve">? </w:t>
            </w:r>
            <w:proofErr w:type="spellStart"/>
            <w:r w:rsidRPr="00681ECD">
              <w:t>Angi</w:t>
            </w:r>
            <w:proofErr w:type="spellEnd"/>
            <w:r w:rsidRPr="00681ECD">
              <w:t xml:space="preserve"> i </w:t>
            </w:r>
            <w:proofErr w:type="spellStart"/>
            <w:r w:rsidRPr="00681ECD">
              <w:t>så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fall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tidspunkt</w:t>
            </w:r>
            <w:proofErr w:type="spellEnd"/>
            <w:r w:rsidR="00EF2741" w:rsidRPr="00681ECD">
              <w:t xml:space="preserve"> </w:t>
            </w:r>
            <w:proofErr w:type="spellStart"/>
            <w:r w:rsidR="00EF2741" w:rsidRPr="00681ECD">
              <w:t>eller</w:t>
            </w:r>
            <w:proofErr w:type="spellEnd"/>
            <w:r w:rsidR="00EF2741" w:rsidRPr="00681ECD">
              <w:t xml:space="preserve"> </w:t>
            </w:r>
            <w:proofErr w:type="spellStart"/>
            <w:r w:rsidR="00EF2741" w:rsidRPr="00681ECD">
              <w:t>ventet</w:t>
            </w:r>
            <w:proofErr w:type="spellEnd"/>
            <w:r w:rsidR="00EF2741" w:rsidRPr="00681ECD">
              <w:t xml:space="preserve"> </w:t>
            </w:r>
            <w:proofErr w:type="spellStart"/>
            <w:r w:rsidR="00D1082E" w:rsidRPr="00681ECD">
              <w:t>tidspunkt</w:t>
            </w:r>
            <w:proofErr w:type="spellEnd"/>
            <w:r w:rsidR="00D1082E" w:rsidRPr="00681ECD">
              <w:t xml:space="preserve"> </w:t>
            </w:r>
            <w:proofErr w:type="spellStart"/>
            <w:r w:rsidR="00D1082E" w:rsidRPr="00681ECD">
              <w:t>for</w:t>
            </w:r>
            <w:proofErr w:type="spellEnd"/>
            <w:r w:rsidR="00D1082E" w:rsidRPr="00681ECD">
              <w:t xml:space="preserve"> MT</w:t>
            </w:r>
            <w:r w:rsidRPr="00681ECD">
              <w:t>:</w:t>
            </w:r>
          </w:p>
          <w:p w14:paraId="2C6A87F8" w14:textId="3E742774" w:rsidR="00545860" w:rsidRPr="009255DB" w:rsidRDefault="00545860" w:rsidP="00681ECD">
            <w:pPr>
              <w:spacing w:after="0" w:line="240" w:lineRule="auto"/>
            </w:pPr>
            <w:proofErr w:type="spellStart"/>
            <w:r w:rsidRPr="009255DB">
              <w:t>Marketing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authorisation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was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granted</w:t>
            </w:r>
            <w:proofErr w:type="spellEnd"/>
            <w:r w:rsidRPr="009255DB">
              <w:t xml:space="preserve"> </w:t>
            </w:r>
            <w:proofErr w:type="spellStart"/>
            <w:r w:rsidRPr="009255DB">
              <w:t>by</w:t>
            </w:r>
            <w:proofErr w:type="spellEnd"/>
            <w:r w:rsidRPr="009255DB">
              <w:t xml:space="preserve"> EMA </w:t>
            </w:r>
            <w:proofErr w:type="spellStart"/>
            <w:r w:rsidRPr="009255DB">
              <w:t>on</w:t>
            </w:r>
            <w:proofErr w:type="spellEnd"/>
            <w:r w:rsidRPr="009255DB">
              <w:t xml:space="preserve"> </w:t>
            </w:r>
            <w:proofErr w:type="spellStart"/>
            <w:r w:rsidR="00C349CF" w:rsidRPr="009255DB">
              <w:t>July</w:t>
            </w:r>
            <w:proofErr w:type="spellEnd"/>
            <w:r w:rsidR="00C349CF" w:rsidRPr="009255DB">
              <w:t xml:space="preserve"> </w:t>
            </w:r>
            <w:r w:rsidRPr="009255DB">
              <w:t>2019</w:t>
            </w:r>
          </w:p>
          <w:p w14:paraId="0DEF020C" w14:textId="77777777" w:rsidR="009C40CB" w:rsidRPr="00681ECD" w:rsidRDefault="00545860" w:rsidP="00681ECD">
            <w:pPr>
              <w:spacing w:after="0" w:line="240" w:lineRule="auto"/>
            </w:pPr>
            <w:r w:rsidRPr="009255DB">
              <w:t xml:space="preserve">MA (EU) </w:t>
            </w:r>
            <w:proofErr w:type="spellStart"/>
            <w:r w:rsidRPr="009255DB">
              <w:t>number</w:t>
            </w:r>
            <w:proofErr w:type="spellEnd"/>
            <w:r w:rsidRPr="009255DB">
              <w:t>: EU/1/19/1369/001</w:t>
            </w:r>
          </w:p>
        </w:tc>
      </w:tr>
    </w:tbl>
    <w:p w14:paraId="7C8F9454" w14:textId="77777777" w:rsidR="00C354DD" w:rsidRDefault="00C35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E11D8" w:rsidRPr="00681ECD" w14:paraId="0361585D" w14:textId="77777777" w:rsidTr="00681ECD">
        <w:tc>
          <w:tcPr>
            <w:tcW w:w="8613" w:type="dxa"/>
            <w:shd w:val="clear" w:color="auto" w:fill="auto"/>
          </w:tcPr>
          <w:p w14:paraId="78D0F559" w14:textId="130B90DC" w:rsidR="009C3627" w:rsidRPr="00942860" w:rsidRDefault="00B17578" w:rsidP="00942860">
            <w:pPr>
              <w:pStyle w:val="Heading3"/>
              <w:spacing w:after="240" w:line="240" w:lineRule="auto"/>
              <w:rPr>
                <w:color w:val="auto"/>
              </w:rPr>
            </w:pPr>
            <w:r w:rsidRPr="00681ECD">
              <w:rPr>
                <w:color w:val="auto"/>
              </w:rPr>
              <w:t>10</w:t>
            </w:r>
            <w:r w:rsidR="008B4F91" w:rsidRPr="00681ECD">
              <w:rPr>
                <w:color w:val="auto"/>
              </w:rPr>
              <w:t xml:space="preserve">. </w:t>
            </w:r>
            <w:proofErr w:type="spellStart"/>
            <w:r w:rsidR="008B4F91" w:rsidRPr="00681ECD">
              <w:rPr>
                <w:color w:val="auto"/>
              </w:rPr>
              <w:t>Andre</w:t>
            </w:r>
            <w:proofErr w:type="spellEnd"/>
            <w:r w:rsidR="008B4F91" w:rsidRPr="00681ECD">
              <w:rPr>
                <w:color w:val="auto"/>
              </w:rPr>
              <w:t xml:space="preserve"> </w:t>
            </w:r>
            <w:proofErr w:type="spellStart"/>
            <w:r w:rsidR="008B4F91" w:rsidRPr="00681ECD">
              <w:rPr>
                <w:color w:val="auto"/>
              </w:rPr>
              <w:t>kommentarer</w:t>
            </w:r>
            <w:proofErr w:type="spellEnd"/>
          </w:p>
        </w:tc>
      </w:tr>
      <w:tr w:rsidR="003E11D8" w:rsidRPr="00681ECD" w14:paraId="06363F4B" w14:textId="77777777" w:rsidTr="00681ECD">
        <w:trPr>
          <w:trHeight w:val="601"/>
        </w:trPr>
        <w:tc>
          <w:tcPr>
            <w:tcW w:w="8613" w:type="dxa"/>
            <w:shd w:val="clear" w:color="auto" w:fill="auto"/>
          </w:tcPr>
          <w:p w14:paraId="005A8FFC" w14:textId="4222CE62" w:rsidR="00632D98" w:rsidRPr="00942860" w:rsidRDefault="00632D98" w:rsidP="00632D98">
            <w:pPr>
              <w:spacing w:after="0" w:line="240" w:lineRule="auto"/>
            </w:pPr>
            <w:proofErr w:type="spellStart"/>
            <w:r w:rsidRPr="00942860">
              <w:t>Additional</w:t>
            </w:r>
            <w:proofErr w:type="spellEnd"/>
            <w:r w:rsidRPr="00942860">
              <w:t xml:space="preserve"> risk </w:t>
            </w:r>
            <w:proofErr w:type="spellStart"/>
            <w:r w:rsidRPr="00942860">
              <w:t>minimisation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measures</w:t>
            </w:r>
            <w:proofErr w:type="spellEnd"/>
            <w:r w:rsidR="00942860">
              <w:t xml:space="preserve"> (ARMM)</w:t>
            </w:r>
            <w:r w:rsidRPr="00942860">
              <w:t xml:space="preserve">  </w:t>
            </w:r>
            <w:proofErr w:type="spellStart"/>
            <w:r w:rsidRPr="00942860">
              <w:t>requested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in</w:t>
            </w:r>
            <w:proofErr w:type="spellEnd"/>
            <w:r w:rsidRPr="00942860">
              <w:t xml:space="preserve"> the EMA RMP </w:t>
            </w:r>
            <w:proofErr w:type="spellStart"/>
            <w:r w:rsidRPr="00942860">
              <w:t>will</w:t>
            </w:r>
            <w:proofErr w:type="spellEnd"/>
            <w:r w:rsidRPr="00942860">
              <w:t xml:space="preserve"> be </w:t>
            </w:r>
            <w:proofErr w:type="spellStart"/>
            <w:r w:rsidRPr="00942860">
              <w:t>imple</w:t>
            </w:r>
            <w:r w:rsidR="00942860" w:rsidRPr="00942860">
              <w:t>me</w:t>
            </w:r>
            <w:r w:rsidRPr="00942860">
              <w:t>nted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before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Sixmo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is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launched</w:t>
            </w:r>
            <w:proofErr w:type="spellEnd"/>
            <w:r w:rsidRPr="00942860">
              <w:t xml:space="preserve">. </w:t>
            </w:r>
            <w:proofErr w:type="spellStart"/>
            <w:r w:rsidR="00942860" w:rsidRPr="00942860">
              <w:t>E</w:t>
            </w:r>
            <w:r w:rsidRPr="00942860">
              <w:t>.g</w:t>
            </w:r>
            <w:proofErr w:type="spellEnd"/>
            <w:r w:rsidRPr="00942860">
              <w:t xml:space="preserve">. </w:t>
            </w:r>
            <w:proofErr w:type="spellStart"/>
            <w:r w:rsidRPr="00942860">
              <w:t>Live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insertion</w:t>
            </w:r>
            <w:proofErr w:type="spellEnd"/>
            <w:r w:rsidRPr="00942860">
              <w:t xml:space="preserve"> and </w:t>
            </w:r>
            <w:proofErr w:type="spellStart"/>
            <w:r w:rsidRPr="00942860">
              <w:t>removal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training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technique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will</w:t>
            </w:r>
            <w:proofErr w:type="spellEnd"/>
            <w:r w:rsidRPr="00942860">
              <w:t xml:space="preserve"> be </w:t>
            </w:r>
            <w:proofErr w:type="spellStart"/>
            <w:r w:rsidRPr="00942860">
              <w:t>provided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before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an</w:t>
            </w:r>
            <w:proofErr w:type="spellEnd"/>
            <w:r w:rsidRPr="00942860">
              <w:t xml:space="preserve"> HCP </w:t>
            </w:r>
            <w:proofErr w:type="spellStart"/>
            <w:r w:rsidRPr="00942860">
              <w:t>can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administer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Sixmo</w:t>
            </w:r>
            <w:proofErr w:type="spellEnd"/>
            <w:r w:rsidR="00942860" w:rsidRPr="00942860">
              <w:t>.</w:t>
            </w:r>
          </w:p>
          <w:p w14:paraId="2D526BE6" w14:textId="77777777" w:rsidR="00632D98" w:rsidRPr="00942860" w:rsidRDefault="00632D98" w:rsidP="00632D98">
            <w:pPr>
              <w:spacing w:after="0" w:line="240" w:lineRule="auto"/>
            </w:pPr>
          </w:p>
          <w:p w14:paraId="4E02169F" w14:textId="2D756FED" w:rsidR="00632D98" w:rsidRPr="00942860" w:rsidRDefault="00632D98" w:rsidP="00632D98">
            <w:pPr>
              <w:spacing w:after="0" w:line="240" w:lineRule="auto"/>
            </w:pPr>
            <w:proofErr w:type="spellStart"/>
            <w:r w:rsidRPr="00942860">
              <w:t>All</w:t>
            </w:r>
            <w:proofErr w:type="spellEnd"/>
            <w:r w:rsidRPr="00942860">
              <w:t xml:space="preserve"> ARMM </w:t>
            </w:r>
            <w:proofErr w:type="spellStart"/>
            <w:r w:rsidRPr="00942860">
              <w:t>measures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will</w:t>
            </w:r>
            <w:proofErr w:type="spellEnd"/>
            <w:r w:rsidRPr="00942860">
              <w:t xml:space="preserve"> be </w:t>
            </w:r>
            <w:proofErr w:type="spellStart"/>
            <w:r w:rsidRPr="00942860">
              <w:t>approved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by</w:t>
            </w:r>
            <w:proofErr w:type="spellEnd"/>
            <w:r w:rsidRPr="00942860">
              <w:t xml:space="preserve"> the </w:t>
            </w:r>
            <w:proofErr w:type="spellStart"/>
            <w:r w:rsidRPr="00942860">
              <w:t>Norwe</w:t>
            </w:r>
            <w:r w:rsidR="00942860" w:rsidRPr="00942860">
              <w:t>gian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medicines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agency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before</w:t>
            </w:r>
            <w:proofErr w:type="spellEnd"/>
            <w:r w:rsidRPr="00942860">
              <w:t xml:space="preserve"> it </w:t>
            </w:r>
            <w:proofErr w:type="spellStart"/>
            <w:r w:rsidRPr="00942860">
              <w:t>is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launched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in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Norway</w:t>
            </w:r>
            <w:proofErr w:type="spellEnd"/>
            <w:r w:rsidRPr="00942860">
              <w:t>.</w:t>
            </w:r>
          </w:p>
          <w:p w14:paraId="412A9F3D" w14:textId="77777777" w:rsidR="00632D98" w:rsidRPr="00942860" w:rsidRDefault="00632D98" w:rsidP="00632D98">
            <w:pPr>
              <w:spacing w:after="0" w:line="240" w:lineRule="auto"/>
            </w:pPr>
          </w:p>
          <w:p w14:paraId="1425B8FB" w14:textId="5B875D96" w:rsidR="00D53539" w:rsidRPr="00681ECD" w:rsidRDefault="00632D98" w:rsidP="00681ECD">
            <w:pPr>
              <w:spacing w:after="0" w:line="240" w:lineRule="auto"/>
            </w:pPr>
            <w:r w:rsidRPr="00942860">
              <w:t>PASS</w:t>
            </w:r>
            <w:r w:rsidR="008A1B23" w:rsidRPr="00942860">
              <w:t xml:space="preserve"> (</w:t>
            </w:r>
            <w:proofErr w:type="spellStart"/>
            <w:r w:rsidR="008A1B23" w:rsidRPr="00942860">
              <w:t>post-authorisation</w:t>
            </w:r>
            <w:proofErr w:type="spellEnd"/>
            <w:r w:rsidR="008A1B23" w:rsidRPr="00942860">
              <w:t xml:space="preserve"> </w:t>
            </w:r>
            <w:proofErr w:type="spellStart"/>
            <w:r w:rsidR="008A1B23" w:rsidRPr="00942860">
              <w:t>safety</w:t>
            </w:r>
            <w:proofErr w:type="spellEnd"/>
            <w:r w:rsidR="008A1B23" w:rsidRPr="00942860">
              <w:t xml:space="preserve"> </w:t>
            </w:r>
            <w:proofErr w:type="spellStart"/>
            <w:r w:rsidR="008A1B23" w:rsidRPr="00942860">
              <w:t>study</w:t>
            </w:r>
            <w:proofErr w:type="spellEnd"/>
            <w:r w:rsidR="008A1B23" w:rsidRPr="00942860">
              <w:t>)</w:t>
            </w:r>
            <w:r w:rsidRPr="00942860">
              <w:t xml:space="preserve"> – </w:t>
            </w:r>
            <w:proofErr w:type="spellStart"/>
            <w:r w:rsidRPr="00942860">
              <w:t>mandatory</w:t>
            </w:r>
            <w:proofErr w:type="spellEnd"/>
            <w:r w:rsidRPr="00942860">
              <w:t xml:space="preserve"> data </w:t>
            </w:r>
            <w:proofErr w:type="spellStart"/>
            <w:r w:rsidRPr="00942860">
              <w:t>col</w:t>
            </w:r>
            <w:r w:rsidR="008A1B23" w:rsidRPr="00942860">
              <w:t>l</w:t>
            </w:r>
            <w:r w:rsidRPr="00942860">
              <w:t>ection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for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safety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aspects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with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regards</w:t>
            </w:r>
            <w:proofErr w:type="spellEnd"/>
            <w:r w:rsidRPr="00942860">
              <w:t xml:space="preserve"> to </w:t>
            </w:r>
            <w:proofErr w:type="spellStart"/>
            <w:r w:rsidRPr="00942860">
              <w:t>insertion</w:t>
            </w:r>
            <w:proofErr w:type="spellEnd"/>
            <w:r w:rsidRPr="00942860">
              <w:t xml:space="preserve"> and </w:t>
            </w:r>
            <w:proofErr w:type="spellStart"/>
            <w:r w:rsidRPr="00942860">
              <w:t>removal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of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implant</w:t>
            </w:r>
            <w:proofErr w:type="spellEnd"/>
            <w:r w:rsidRPr="00942860">
              <w:t xml:space="preserve">, </w:t>
            </w:r>
            <w:proofErr w:type="spellStart"/>
            <w:r w:rsidRPr="00942860">
              <w:t>sponsored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by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ma</w:t>
            </w:r>
            <w:r w:rsidR="008A1B23" w:rsidRPr="00942860">
              <w:t>r</w:t>
            </w:r>
            <w:r w:rsidRPr="00942860">
              <w:t>k</w:t>
            </w:r>
            <w:r w:rsidR="008A1B23" w:rsidRPr="00942860">
              <w:t>e</w:t>
            </w:r>
            <w:r w:rsidRPr="00942860">
              <w:t>ting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authorisation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holder</w:t>
            </w:r>
            <w:proofErr w:type="spellEnd"/>
            <w:r w:rsidRPr="00942860">
              <w:t xml:space="preserve"> </w:t>
            </w:r>
            <w:proofErr w:type="spellStart"/>
            <w:r w:rsidRPr="00942860">
              <w:t>Molteni</w:t>
            </w:r>
            <w:proofErr w:type="spellEnd"/>
            <w:r w:rsidR="008A1B23">
              <w:rPr>
                <w:color w:val="ED7D31" w:themeColor="accent2"/>
              </w:rPr>
              <w:t>.</w:t>
            </w:r>
          </w:p>
        </w:tc>
      </w:tr>
    </w:tbl>
    <w:p w14:paraId="6A26C602" w14:textId="77777777" w:rsidR="006F6B4F" w:rsidRDefault="006F6B4F" w:rsidP="003E1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E11D8" w:rsidRPr="00681ECD" w14:paraId="57E262F2" w14:textId="77777777" w:rsidTr="00681ECD">
        <w:tc>
          <w:tcPr>
            <w:tcW w:w="8613" w:type="dxa"/>
            <w:shd w:val="clear" w:color="auto" w:fill="auto"/>
          </w:tcPr>
          <w:p w14:paraId="10459143" w14:textId="6B14272D" w:rsidR="009C3627" w:rsidRPr="00942860" w:rsidRDefault="00B17578" w:rsidP="00681ECD">
            <w:pPr>
              <w:spacing w:after="0" w:line="240" w:lineRule="auto"/>
            </w:pPr>
            <w:r w:rsidRPr="00681ECD">
              <w:rPr>
                <w:rFonts w:ascii="Cambria" w:eastAsia="Times New Roman" w:hAnsi="Cambria"/>
                <w:b/>
                <w:bCs/>
              </w:rPr>
              <w:t>11</w:t>
            </w:r>
            <w:r w:rsidR="00702941" w:rsidRPr="00681ECD">
              <w:rPr>
                <w:rFonts w:ascii="Cambria" w:eastAsia="Times New Roman" w:hAnsi="Cambria"/>
                <w:b/>
                <w:bCs/>
              </w:rPr>
              <w:t xml:space="preserve">. </w:t>
            </w:r>
            <w:r w:rsidR="003E11D8" w:rsidRPr="00681ECD">
              <w:rPr>
                <w:rFonts w:ascii="Cambria" w:eastAsia="Times New Roman" w:hAnsi="Cambria"/>
                <w:b/>
                <w:bCs/>
              </w:rPr>
              <w:t xml:space="preserve"> </w:t>
            </w:r>
            <w:proofErr w:type="spellStart"/>
            <w:r w:rsidR="003E11D8" w:rsidRPr="00681ECD">
              <w:rPr>
                <w:rFonts w:ascii="Cambria" w:eastAsia="Times New Roman" w:hAnsi="Cambria"/>
                <w:b/>
                <w:bCs/>
              </w:rPr>
              <w:t>Interesser</w:t>
            </w:r>
            <w:proofErr w:type="spellEnd"/>
            <w:r w:rsidR="003E11D8" w:rsidRPr="00681ECD">
              <w:rPr>
                <w:rFonts w:ascii="Cambria" w:eastAsia="Times New Roman" w:hAnsi="Cambria"/>
                <w:b/>
                <w:bCs/>
              </w:rPr>
              <w:t xml:space="preserve"> </w:t>
            </w:r>
            <w:proofErr w:type="spellStart"/>
            <w:r w:rsidR="003E11D8" w:rsidRPr="00681ECD">
              <w:rPr>
                <w:rFonts w:ascii="Cambria" w:eastAsia="Times New Roman" w:hAnsi="Cambria"/>
                <w:b/>
                <w:bCs/>
              </w:rPr>
              <w:t>og</w:t>
            </w:r>
            <w:proofErr w:type="spellEnd"/>
            <w:r w:rsidR="003E11D8" w:rsidRPr="00681ECD">
              <w:rPr>
                <w:rFonts w:ascii="Cambria" w:eastAsia="Times New Roman" w:hAnsi="Cambria"/>
                <w:b/>
                <w:bCs/>
              </w:rPr>
              <w:t xml:space="preserve"> </w:t>
            </w:r>
            <w:proofErr w:type="spellStart"/>
            <w:r w:rsidR="003E11D8" w:rsidRPr="00681ECD">
              <w:rPr>
                <w:rFonts w:ascii="Cambria" w:eastAsia="Times New Roman" w:hAnsi="Cambria"/>
                <w:b/>
                <w:bCs/>
              </w:rPr>
              <w:t>eventuelle</w:t>
            </w:r>
            <w:proofErr w:type="spellEnd"/>
            <w:r w:rsidR="003E11D8" w:rsidRPr="00681ECD">
              <w:rPr>
                <w:rFonts w:ascii="Cambria" w:eastAsia="Times New Roman" w:hAnsi="Cambria"/>
                <w:b/>
                <w:bCs/>
              </w:rPr>
              <w:t xml:space="preserve"> </w:t>
            </w:r>
            <w:proofErr w:type="spellStart"/>
            <w:r w:rsidR="003E11D8" w:rsidRPr="00681ECD">
              <w:rPr>
                <w:rFonts w:ascii="Cambria" w:eastAsia="Times New Roman" w:hAnsi="Cambria"/>
                <w:b/>
                <w:bCs/>
              </w:rPr>
              <w:t>interessekonflikter</w:t>
            </w:r>
            <w:proofErr w:type="spellEnd"/>
            <w:r w:rsidR="003E11D8" w:rsidRPr="00681ECD">
              <w:br/>
            </w:r>
            <w:proofErr w:type="spellStart"/>
            <w:r w:rsidR="003E11D8" w:rsidRPr="00681ECD">
              <w:t>Beskriv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dine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relasjoner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eller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aktiviteter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som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kan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påvirke</w:t>
            </w:r>
            <w:proofErr w:type="spellEnd"/>
            <w:r w:rsidR="003E11D8" w:rsidRPr="00681ECD">
              <w:t xml:space="preserve">, </w:t>
            </w:r>
            <w:proofErr w:type="spellStart"/>
            <w:r w:rsidR="003E11D8" w:rsidRPr="00681ECD">
              <w:t>påvirkes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av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eller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oppfattes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av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andre</w:t>
            </w:r>
            <w:proofErr w:type="spellEnd"/>
            <w:r w:rsidR="003E11D8" w:rsidRPr="00681ECD">
              <w:t xml:space="preserve"> å ha </w:t>
            </w:r>
            <w:proofErr w:type="spellStart"/>
            <w:r w:rsidR="003E11D8" w:rsidRPr="00681ECD">
              <w:t>betydning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for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den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videre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håndteringen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av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metoden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som</w:t>
            </w:r>
            <w:proofErr w:type="spellEnd"/>
            <w:r w:rsidR="003E11D8" w:rsidRPr="00681ECD">
              <w:t xml:space="preserve"> </w:t>
            </w:r>
            <w:proofErr w:type="spellStart"/>
            <w:r w:rsidR="00E10066" w:rsidRPr="00681ECD">
              <w:t>det</w:t>
            </w:r>
            <w:proofErr w:type="spellEnd"/>
            <w:r w:rsidR="00E10066" w:rsidRPr="00681ECD">
              <w:t xml:space="preserve"> gis </w:t>
            </w:r>
            <w:proofErr w:type="spellStart"/>
            <w:r w:rsidR="00E10066" w:rsidRPr="00681ECD">
              <w:t>innspill</w:t>
            </w:r>
            <w:proofErr w:type="spellEnd"/>
            <w:r w:rsidR="00E10066" w:rsidRPr="00681ECD">
              <w:t xml:space="preserve"> </w:t>
            </w:r>
            <w:proofErr w:type="spellStart"/>
            <w:r w:rsidR="00E10066" w:rsidRPr="00681ECD">
              <w:t>på</w:t>
            </w:r>
            <w:proofErr w:type="spellEnd"/>
            <w:r w:rsidR="003E11D8" w:rsidRPr="00681ECD">
              <w:t xml:space="preserve"> (</w:t>
            </w:r>
            <w:proofErr w:type="spellStart"/>
            <w:r w:rsidR="00E10066" w:rsidRPr="00681ECD">
              <w:t>f</w:t>
            </w:r>
            <w:r w:rsidR="009C40CB" w:rsidRPr="00681ECD">
              <w:t>or</w:t>
            </w:r>
            <w:proofErr w:type="spellEnd"/>
            <w:r w:rsidR="009C40CB" w:rsidRPr="00681ECD">
              <w:t xml:space="preserve"> </w:t>
            </w:r>
            <w:proofErr w:type="spellStart"/>
            <w:r w:rsidR="009C40CB" w:rsidRPr="00681ECD">
              <w:t>e</w:t>
            </w:r>
            <w:r w:rsidR="003E11D8" w:rsidRPr="00681ECD">
              <w:t>ksemp</w:t>
            </w:r>
            <w:r w:rsidR="009C40CB" w:rsidRPr="00681ECD">
              <w:t>el</w:t>
            </w:r>
            <w:proofErr w:type="spellEnd"/>
            <w:r w:rsidR="003E11D8" w:rsidRPr="00681ECD">
              <w:t xml:space="preserve">: </w:t>
            </w:r>
            <w:proofErr w:type="spellStart"/>
            <w:r w:rsidR="003E11D8" w:rsidRPr="00681ECD">
              <w:t>økonomiske</w:t>
            </w:r>
            <w:proofErr w:type="spellEnd"/>
            <w:r w:rsidR="003E11D8" w:rsidRPr="00681ECD">
              <w:t xml:space="preserve"> </w:t>
            </w:r>
            <w:proofErr w:type="spellStart"/>
            <w:r w:rsidR="003E11D8" w:rsidRPr="00681ECD">
              <w:t>interesser</w:t>
            </w:r>
            <w:proofErr w:type="spellEnd"/>
            <w:r w:rsidR="003E11D8" w:rsidRPr="00681ECD">
              <w:t xml:space="preserve"> i </w:t>
            </w:r>
            <w:proofErr w:type="spellStart"/>
            <w:r w:rsidR="003E11D8" w:rsidRPr="00681ECD">
              <w:t>saken</w:t>
            </w:r>
            <w:proofErr w:type="spellEnd"/>
            <w:r w:rsidR="009C40CB" w:rsidRPr="00681ECD">
              <w:t xml:space="preserve">, </w:t>
            </w:r>
            <w:proofErr w:type="spellStart"/>
            <w:r w:rsidR="009C40CB" w:rsidRPr="00681ECD">
              <w:t>oppdrag</w:t>
            </w:r>
            <w:proofErr w:type="spellEnd"/>
            <w:r w:rsidR="009C40CB" w:rsidRPr="00681ECD">
              <w:t xml:space="preserve"> </w:t>
            </w:r>
            <w:proofErr w:type="spellStart"/>
            <w:r w:rsidR="009C40CB" w:rsidRPr="00681ECD">
              <w:t>eller</w:t>
            </w:r>
            <w:proofErr w:type="spellEnd"/>
            <w:r w:rsidR="009C40CB" w:rsidRPr="00681ECD">
              <w:t xml:space="preserve"> </w:t>
            </w:r>
            <w:proofErr w:type="spellStart"/>
            <w:r w:rsidR="009C40CB" w:rsidRPr="00681ECD">
              <w:t>andre</w:t>
            </w:r>
            <w:proofErr w:type="spellEnd"/>
            <w:r w:rsidR="009C40CB" w:rsidRPr="00681ECD">
              <w:t xml:space="preserve"> </w:t>
            </w:r>
            <w:proofErr w:type="spellStart"/>
            <w:r w:rsidR="009C40CB" w:rsidRPr="00681ECD">
              <w:t>bindinger</w:t>
            </w:r>
            <w:proofErr w:type="spellEnd"/>
            <w:r w:rsidR="003E11D8" w:rsidRPr="00681ECD">
              <w:t>)</w:t>
            </w:r>
            <w:r w:rsidR="00E10066" w:rsidRPr="00681ECD">
              <w:t>.</w:t>
            </w:r>
          </w:p>
        </w:tc>
      </w:tr>
      <w:tr w:rsidR="003E11D8" w:rsidRPr="00681ECD" w14:paraId="0B844975" w14:textId="77777777" w:rsidTr="00681ECD">
        <w:trPr>
          <w:trHeight w:val="1041"/>
        </w:trPr>
        <w:tc>
          <w:tcPr>
            <w:tcW w:w="8613" w:type="dxa"/>
            <w:shd w:val="clear" w:color="auto" w:fill="auto"/>
          </w:tcPr>
          <w:p w14:paraId="22FAD32E" w14:textId="77777777" w:rsidR="003E11D8" w:rsidRPr="00681ECD" w:rsidRDefault="003E11D8" w:rsidP="00681ECD">
            <w:pPr>
              <w:spacing w:after="0" w:line="240" w:lineRule="auto"/>
            </w:pPr>
            <w:proofErr w:type="spellStart"/>
            <w:r w:rsidRPr="00681ECD">
              <w:t>Beskriv</w:t>
            </w:r>
            <w:proofErr w:type="spellEnd"/>
            <w:r w:rsidRPr="00681ECD">
              <w:t xml:space="preserve"> </w:t>
            </w:r>
            <w:proofErr w:type="spellStart"/>
            <w:r w:rsidRPr="00681ECD">
              <w:t>kortfattet</w:t>
            </w:r>
            <w:proofErr w:type="spellEnd"/>
            <w:r w:rsidRPr="00681ECD">
              <w:t>:</w:t>
            </w:r>
            <w:r w:rsidR="007F6E8A" w:rsidRPr="00681ECD">
              <w:t xml:space="preserve"> </w:t>
            </w:r>
            <w:r w:rsidR="007F6E8A" w:rsidRPr="00942860">
              <w:t xml:space="preserve">Accord </w:t>
            </w:r>
            <w:proofErr w:type="spellStart"/>
            <w:r w:rsidR="007F6E8A" w:rsidRPr="00942860">
              <w:t>Healthcare</w:t>
            </w:r>
            <w:proofErr w:type="spellEnd"/>
            <w:r w:rsidR="007F6E8A" w:rsidRPr="00942860">
              <w:t xml:space="preserve"> AB </w:t>
            </w:r>
            <w:proofErr w:type="spellStart"/>
            <w:r w:rsidR="007F6E8A" w:rsidRPr="00942860">
              <w:t>is</w:t>
            </w:r>
            <w:proofErr w:type="spellEnd"/>
            <w:r w:rsidR="007F6E8A" w:rsidRPr="00942860">
              <w:t xml:space="preserve"> </w:t>
            </w:r>
            <w:r w:rsidR="00C349CF" w:rsidRPr="00942860">
              <w:t>the</w:t>
            </w:r>
            <w:r w:rsidR="007F6E8A" w:rsidRPr="00942860">
              <w:t xml:space="preserve"> </w:t>
            </w:r>
            <w:proofErr w:type="spellStart"/>
            <w:r w:rsidR="007F6E8A" w:rsidRPr="00942860">
              <w:t>marketing</w:t>
            </w:r>
            <w:proofErr w:type="spellEnd"/>
            <w:r w:rsidR="007F6E8A" w:rsidRPr="00942860">
              <w:t xml:space="preserve"> and </w:t>
            </w:r>
            <w:proofErr w:type="spellStart"/>
            <w:r w:rsidR="007F6E8A" w:rsidRPr="00942860">
              <w:t>distribution</w:t>
            </w:r>
            <w:proofErr w:type="spellEnd"/>
            <w:r w:rsidR="007F6E8A" w:rsidRPr="00942860">
              <w:t xml:space="preserve"> </w:t>
            </w:r>
            <w:proofErr w:type="spellStart"/>
            <w:r w:rsidR="007F6E8A" w:rsidRPr="00942860">
              <w:t>part</w:t>
            </w:r>
            <w:r w:rsidR="004D7648" w:rsidRPr="00942860">
              <w:t>n</w:t>
            </w:r>
            <w:r w:rsidR="007F6E8A" w:rsidRPr="00942860">
              <w:t>er</w:t>
            </w:r>
            <w:proofErr w:type="spellEnd"/>
            <w:r w:rsidR="007F6E8A" w:rsidRPr="00942860">
              <w:t xml:space="preserve"> </w:t>
            </w:r>
            <w:proofErr w:type="spellStart"/>
            <w:r w:rsidR="007F6E8A" w:rsidRPr="00942860">
              <w:t>for</w:t>
            </w:r>
            <w:proofErr w:type="spellEnd"/>
            <w:r w:rsidR="004D7648" w:rsidRPr="00942860">
              <w:t xml:space="preserve"> L. </w:t>
            </w:r>
            <w:proofErr w:type="spellStart"/>
            <w:r w:rsidR="004D7648" w:rsidRPr="00942860">
              <w:t>Molteni</w:t>
            </w:r>
            <w:proofErr w:type="spellEnd"/>
            <w:r w:rsidR="004D7648" w:rsidRPr="00942860">
              <w:t xml:space="preserve"> &amp; C. </w:t>
            </w:r>
            <w:proofErr w:type="spellStart"/>
            <w:r w:rsidR="004D7648" w:rsidRPr="00942860">
              <w:t>dei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Fratelli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Alitti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Società</w:t>
            </w:r>
            <w:proofErr w:type="spellEnd"/>
            <w:r w:rsidR="004D7648" w:rsidRPr="00942860">
              <w:t xml:space="preserve"> di </w:t>
            </w:r>
            <w:proofErr w:type="spellStart"/>
            <w:r w:rsidR="004D7648" w:rsidRPr="00942860">
              <w:t>Esercizio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S.p.A</w:t>
            </w:r>
            <w:proofErr w:type="spellEnd"/>
            <w:r w:rsidR="004D7648" w:rsidRPr="00942860">
              <w:t xml:space="preserve">., a </w:t>
            </w:r>
            <w:proofErr w:type="spellStart"/>
            <w:r w:rsidR="004D7648" w:rsidRPr="00942860">
              <w:t>marketing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authorisation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holder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of</w:t>
            </w:r>
            <w:proofErr w:type="spellEnd"/>
            <w:r w:rsidR="004D7648" w:rsidRPr="00942860">
              <w:t xml:space="preserve"> </w:t>
            </w:r>
            <w:proofErr w:type="spellStart"/>
            <w:r w:rsidR="004D7648" w:rsidRPr="00942860">
              <w:t>Sixmo</w:t>
            </w:r>
            <w:proofErr w:type="spellEnd"/>
            <w:r w:rsidR="004D7648" w:rsidRPr="00942860">
              <w:rPr>
                <w:rFonts w:cs="Calibri"/>
              </w:rPr>
              <w:t>®</w:t>
            </w:r>
            <w:r w:rsidR="004D7648" w:rsidRPr="00942860">
              <w:t>.</w:t>
            </w:r>
            <w:r w:rsidR="004D7648" w:rsidRPr="00681ECD">
              <w:t xml:space="preserve"> </w:t>
            </w:r>
          </w:p>
        </w:tc>
      </w:tr>
    </w:tbl>
    <w:p w14:paraId="7986E377" w14:textId="77777777" w:rsidR="00434EFF" w:rsidRDefault="00434EFF" w:rsidP="00C70E94"/>
    <w:p w14:paraId="46D1362E" w14:textId="77777777" w:rsidR="005177D5" w:rsidRDefault="005177D5" w:rsidP="001E38DD">
      <w:proofErr w:type="spellStart"/>
      <w:r>
        <w:t>References</w:t>
      </w:r>
      <w:proofErr w:type="spellEnd"/>
      <w:r>
        <w:t>:</w:t>
      </w:r>
    </w:p>
    <w:sectPr w:rsidR="005177D5" w:rsidSect="00384529">
      <w:headerReference w:type="default" r:id="rId12"/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E2FF" w16cex:dateUtc="2020-11-09T14:47:00Z"/>
  <w16cex:commentExtensible w16cex:durableId="2353E19F" w16cex:dateUtc="2020-11-09T14:41:00Z"/>
  <w16cex:commentExtensible w16cex:durableId="2353DE70" w16cex:dateUtc="2020-11-09T14:27:00Z"/>
  <w16cex:commentExtensible w16cex:durableId="2353DF1D" w16cex:dateUtc="2020-11-09T14:30:00Z"/>
  <w16cex:commentExtensible w16cex:durableId="2353DF93" w16cex:dateUtc="2020-11-09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5938" w14:textId="77777777" w:rsidR="009C1754" w:rsidRDefault="009C1754" w:rsidP="00CB7C65">
      <w:pPr>
        <w:spacing w:after="0" w:line="240" w:lineRule="auto"/>
      </w:pPr>
      <w:r>
        <w:separator/>
      </w:r>
    </w:p>
  </w:endnote>
  <w:endnote w:type="continuationSeparator" w:id="0">
    <w:p w14:paraId="5C995469" w14:textId="77777777" w:rsidR="009C1754" w:rsidRDefault="009C1754" w:rsidP="00CB7C65">
      <w:pPr>
        <w:spacing w:after="0" w:line="240" w:lineRule="auto"/>
      </w:pPr>
      <w:r>
        <w:continuationSeparator/>
      </w:r>
    </w:p>
  </w:endnote>
  <w:endnote w:id="1">
    <w:p w14:paraId="305DA0C4" w14:textId="77777777" w:rsidR="00281A27" w:rsidRPr="00681ECD" w:rsidRDefault="00281A27" w:rsidP="00AD7981">
      <w:pPr>
        <w:pStyle w:val="NoSpacing"/>
        <w:rPr>
          <w:rFonts w:cs="Calibri"/>
          <w:sz w:val="20"/>
          <w:szCs w:val="20"/>
          <w:lang w:val="en-GB"/>
        </w:rPr>
      </w:pPr>
      <w:r w:rsidRPr="00681ECD">
        <w:rPr>
          <w:rStyle w:val="EndnoteReference"/>
          <w:rFonts w:cs="Calibri"/>
          <w:sz w:val="20"/>
          <w:szCs w:val="20"/>
        </w:rPr>
        <w:endnoteRef/>
      </w:r>
      <w:r w:rsidRPr="00681ECD">
        <w:rPr>
          <w:rFonts w:cs="Calibri"/>
          <w:sz w:val="20"/>
          <w:szCs w:val="20"/>
        </w:rPr>
        <w:t xml:space="preserve"> https://www.ema.europa.eu/en/documents/product-information/sixmo-epar-product-information_en.pdf</w:t>
      </w:r>
    </w:p>
  </w:endnote>
  <w:endnote w:id="2">
    <w:p w14:paraId="12ED4437" w14:textId="77777777" w:rsidR="00281A27" w:rsidRPr="00681ECD" w:rsidRDefault="00281A27" w:rsidP="00AD7981">
      <w:pPr>
        <w:pStyle w:val="NoSpacing"/>
        <w:rPr>
          <w:rFonts w:cs="Calibri"/>
          <w:sz w:val="20"/>
          <w:szCs w:val="20"/>
          <w:lang w:val="en-US"/>
        </w:rPr>
      </w:pPr>
      <w:r w:rsidRPr="00681ECD">
        <w:rPr>
          <w:rStyle w:val="EndnoteReference"/>
          <w:rFonts w:cs="Calibri"/>
          <w:sz w:val="20"/>
          <w:szCs w:val="20"/>
        </w:rPr>
        <w:endnoteRef/>
      </w:r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  <w:lang w:val="en-US"/>
        </w:rPr>
        <w:t>Kahan</w:t>
      </w:r>
      <w:proofErr w:type="spellEnd"/>
      <w:r w:rsidRPr="00681ECD">
        <w:rPr>
          <w:rFonts w:cs="Calibri"/>
          <w:sz w:val="20"/>
          <w:szCs w:val="20"/>
          <w:lang w:val="en-US"/>
        </w:rPr>
        <w:t xml:space="preserve"> M, Srivastava A, </w:t>
      </w:r>
      <w:proofErr w:type="spellStart"/>
      <w:r w:rsidRPr="00681ECD">
        <w:rPr>
          <w:rFonts w:cs="Calibri"/>
          <w:sz w:val="20"/>
          <w:szCs w:val="20"/>
          <w:lang w:val="en-US"/>
        </w:rPr>
        <w:t>Ordean</w:t>
      </w:r>
      <w:proofErr w:type="spellEnd"/>
      <w:r w:rsidRPr="00681ECD">
        <w:rPr>
          <w:rFonts w:cs="Calibri"/>
          <w:sz w:val="20"/>
          <w:szCs w:val="20"/>
          <w:lang w:val="en-US"/>
        </w:rPr>
        <w:t xml:space="preserve"> A. Buprenorphine New treatment of opioid addiction in primary care. Can Fam Physician. 2011 Mar; 57(3): 281–289.</w:t>
      </w:r>
    </w:p>
  </w:endnote>
  <w:endnote w:id="3">
    <w:p w14:paraId="335EB09F" w14:textId="77777777" w:rsidR="00281A27" w:rsidRPr="00681ECD" w:rsidRDefault="00281A27" w:rsidP="00AD7981">
      <w:pPr>
        <w:pStyle w:val="NoSpacing"/>
        <w:rPr>
          <w:rFonts w:cs="Calibri"/>
          <w:sz w:val="20"/>
          <w:szCs w:val="20"/>
        </w:rPr>
      </w:pPr>
      <w:r w:rsidRPr="00681ECD">
        <w:rPr>
          <w:rStyle w:val="EndnoteReference"/>
          <w:rFonts w:cs="Calibri"/>
          <w:sz w:val="20"/>
          <w:szCs w:val="20"/>
        </w:rPr>
        <w:endnoteRef/>
      </w:r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Bell</w:t>
      </w:r>
      <w:proofErr w:type="spellEnd"/>
      <w:r w:rsidRPr="00681ECD">
        <w:rPr>
          <w:rFonts w:cs="Calibri"/>
          <w:sz w:val="20"/>
          <w:szCs w:val="20"/>
        </w:rPr>
        <w:t xml:space="preserve"> J, </w:t>
      </w:r>
      <w:proofErr w:type="spellStart"/>
      <w:r w:rsidRPr="00681ECD">
        <w:rPr>
          <w:rFonts w:cs="Calibri"/>
          <w:sz w:val="20"/>
          <w:szCs w:val="20"/>
        </w:rPr>
        <w:t>White</w:t>
      </w:r>
      <w:proofErr w:type="spellEnd"/>
      <w:r w:rsidRPr="00681ECD">
        <w:rPr>
          <w:rFonts w:cs="Calibri"/>
          <w:sz w:val="20"/>
          <w:szCs w:val="20"/>
        </w:rPr>
        <w:t xml:space="preserve"> J, </w:t>
      </w:r>
      <w:proofErr w:type="spellStart"/>
      <w:r w:rsidRPr="00681ECD">
        <w:rPr>
          <w:rFonts w:cs="Calibri"/>
          <w:sz w:val="20"/>
          <w:szCs w:val="20"/>
        </w:rPr>
        <w:t>Saunders</w:t>
      </w:r>
      <w:proofErr w:type="spellEnd"/>
      <w:r w:rsidRPr="00681ECD">
        <w:rPr>
          <w:rFonts w:cs="Calibri"/>
          <w:sz w:val="20"/>
          <w:szCs w:val="20"/>
        </w:rPr>
        <w:t xml:space="preserve"> J, </w:t>
      </w:r>
      <w:proofErr w:type="spellStart"/>
      <w:r w:rsidRPr="00681ECD">
        <w:rPr>
          <w:rFonts w:cs="Calibri"/>
          <w:sz w:val="20"/>
          <w:szCs w:val="20"/>
        </w:rPr>
        <w:t>Bochner</w:t>
      </w:r>
      <w:proofErr w:type="spellEnd"/>
      <w:r w:rsidRPr="00681ECD">
        <w:rPr>
          <w:rFonts w:cs="Calibri"/>
          <w:sz w:val="20"/>
          <w:szCs w:val="20"/>
        </w:rPr>
        <w:t xml:space="preserve"> F, </w:t>
      </w:r>
      <w:proofErr w:type="spellStart"/>
      <w:r w:rsidRPr="00681ECD">
        <w:rPr>
          <w:rFonts w:cs="Calibri"/>
          <w:sz w:val="20"/>
          <w:szCs w:val="20"/>
        </w:rPr>
        <w:t>Williamson</w:t>
      </w:r>
      <w:proofErr w:type="spellEnd"/>
      <w:r w:rsidRPr="00681ECD">
        <w:rPr>
          <w:rFonts w:cs="Calibri"/>
          <w:sz w:val="20"/>
          <w:szCs w:val="20"/>
        </w:rPr>
        <w:t xml:space="preserve"> P, </w:t>
      </w:r>
      <w:proofErr w:type="spellStart"/>
      <w:r w:rsidRPr="00681ECD">
        <w:rPr>
          <w:rFonts w:cs="Calibri"/>
          <w:sz w:val="20"/>
          <w:szCs w:val="20"/>
        </w:rPr>
        <w:t>Makowska</w:t>
      </w:r>
      <w:proofErr w:type="spellEnd"/>
      <w:r w:rsidRPr="00681ECD">
        <w:rPr>
          <w:rFonts w:cs="Calibri"/>
          <w:sz w:val="20"/>
          <w:szCs w:val="20"/>
        </w:rPr>
        <w:t xml:space="preserve"> M, </w:t>
      </w:r>
      <w:proofErr w:type="spellStart"/>
      <w:r w:rsidRPr="00681ECD">
        <w:rPr>
          <w:rFonts w:cs="Calibri"/>
          <w:sz w:val="20"/>
          <w:szCs w:val="20"/>
        </w:rPr>
        <w:t>Jacob</w:t>
      </w:r>
      <w:proofErr w:type="spellEnd"/>
      <w:r w:rsidRPr="00681ECD">
        <w:rPr>
          <w:rFonts w:cs="Calibri"/>
          <w:sz w:val="20"/>
          <w:szCs w:val="20"/>
        </w:rPr>
        <w:t xml:space="preserve"> A, et al. </w:t>
      </w:r>
      <w:proofErr w:type="spellStart"/>
      <w:r w:rsidRPr="00681ECD">
        <w:rPr>
          <w:rFonts w:cs="Calibri"/>
          <w:sz w:val="20"/>
          <w:szCs w:val="20"/>
        </w:rPr>
        <w:t>Probuphine</w:t>
      </w:r>
      <w:proofErr w:type="spellEnd"/>
      <w:r w:rsidRPr="00681ECD">
        <w:rPr>
          <w:rFonts w:cs="Calibri"/>
          <w:sz w:val="20"/>
          <w:szCs w:val="20"/>
        </w:rPr>
        <w:t xml:space="preserve"> (</w:t>
      </w:r>
      <w:proofErr w:type="spellStart"/>
      <w:r w:rsidRPr="00681ECD">
        <w:rPr>
          <w:rFonts w:cs="Calibri"/>
          <w:sz w:val="20"/>
          <w:szCs w:val="20"/>
        </w:rPr>
        <w:t>buprenorphine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implant</w:t>
      </w:r>
      <w:proofErr w:type="spellEnd"/>
      <w:r w:rsidRPr="00681ECD">
        <w:rPr>
          <w:rFonts w:cs="Calibri"/>
          <w:sz w:val="20"/>
          <w:szCs w:val="20"/>
        </w:rPr>
        <w:t xml:space="preserve">) </w:t>
      </w:r>
      <w:r w:rsidRPr="00681ECD">
        <w:rPr>
          <w:rFonts w:cs="Calibri"/>
          <w:sz w:val="20"/>
          <w:szCs w:val="20"/>
          <w:lang w:val="en-GB"/>
        </w:rPr>
        <w:t>provides Sustained Serum Buprenorphine Concentrations and Long-Term Control Of Withdrawal Symptoms and Cravings. The College on Problems of Drug Dependence. 66th Annual Scientific Meeting. June 12-17, 2004, San Juan, Puerto Rico</w:t>
      </w:r>
    </w:p>
  </w:endnote>
  <w:endnote w:id="4">
    <w:p w14:paraId="52AA97E8" w14:textId="77777777" w:rsidR="00DD4A5B" w:rsidRPr="00681ECD" w:rsidRDefault="00DD4A5B">
      <w:pPr>
        <w:pStyle w:val="EndnoteText"/>
        <w:rPr>
          <w:rFonts w:cs="Calibri"/>
          <w:lang w:val="en-GB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r w:rsidRPr="00681ECD">
        <w:rPr>
          <w:rFonts w:cs="Calibri"/>
          <w:lang w:val="en-GB"/>
        </w:rPr>
        <w:t xml:space="preserve">Titan Pharmaceuticals website. </w:t>
      </w:r>
      <w:hyperlink r:id="rId1" w:history="1">
        <w:r w:rsidRPr="00681ECD">
          <w:rPr>
            <w:rStyle w:val="Hyperlink"/>
            <w:rFonts w:cs="Calibri"/>
            <w:lang w:val="en-GB"/>
          </w:rPr>
          <w:t>https://www.titanpharm.com/technology</w:t>
        </w:r>
      </w:hyperlink>
      <w:r w:rsidRPr="00681ECD">
        <w:rPr>
          <w:rFonts w:cs="Calibri"/>
          <w:lang w:val="en-GB"/>
        </w:rPr>
        <w:t>; accessed on 03 November 2020</w:t>
      </w:r>
    </w:p>
  </w:endnote>
  <w:endnote w:id="5">
    <w:p w14:paraId="75927871" w14:textId="77777777" w:rsidR="00AD7981" w:rsidRPr="00681ECD" w:rsidRDefault="00AD7981">
      <w:pPr>
        <w:pStyle w:val="EndnoteText"/>
        <w:rPr>
          <w:rFonts w:cs="Calibri"/>
          <w:lang w:val="en-GB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r w:rsidRPr="00681ECD">
        <w:rPr>
          <w:rFonts w:cs="Calibri"/>
          <w:lang w:val="en-GB"/>
        </w:rPr>
        <w:t xml:space="preserve">Martin J. Adherence, diversion, and misuse of sublingual buprenorphine. PCSS guidance. Accessed via </w:t>
      </w:r>
      <w:hyperlink r:id="rId2" w:history="1">
        <w:r w:rsidRPr="00681ECD">
          <w:rPr>
            <w:rStyle w:val="Hyperlink"/>
            <w:rFonts w:cs="Calibri"/>
            <w:lang w:val="en-GB"/>
          </w:rPr>
          <w:t>https://pcssnow.org/wp-content/uploads/2014/02/PCSS-MATGuidanceAdherence-diversion-bup.Martin.pdf</w:t>
        </w:r>
      </w:hyperlink>
      <w:r w:rsidRPr="00681ECD">
        <w:rPr>
          <w:rFonts w:cs="Calibri"/>
          <w:lang w:val="en-GB"/>
        </w:rPr>
        <w:t xml:space="preserve"> on 2nd November 2020</w:t>
      </w:r>
    </w:p>
  </w:endnote>
  <w:endnote w:id="6">
    <w:p w14:paraId="0F238D1A" w14:textId="77777777" w:rsidR="00AD7981" w:rsidRPr="00681ECD" w:rsidRDefault="00AD7981">
      <w:pPr>
        <w:pStyle w:val="EndnoteText"/>
        <w:rPr>
          <w:rFonts w:cs="Calibri"/>
          <w:bCs/>
          <w:lang w:val="en-GB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  <w:lang w:val="en-GB"/>
        </w:rPr>
        <w:t>Tkacz</w:t>
      </w:r>
      <w:proofErr w:type="spellEnd"/>
      <w:r w:rsidRPr="00681ECD">
        <w:rPr>
          <w:rFonts w:cs="Calibri"/>
          <w:lang w:val="en-GB"/>
        </w:rPr>
        <w:t xml:space="preserve"> J, </w:t>
      </w:r>
      <w:proofErr w:type="spellStart"/>
      <w:r w:rsidRPr="00681ECD">
        <w:rPr>
          <w:rFonts w:cs="Calibri"/>
          <w:lang w:val="en-GB"/>
        </w:rPr>
        <w:t>Severt</w:t>
      </w:r>
      <w:proofErr w:type="spellEnd"/>
      <w:r w:rsidRPr="00681ECD">
        <w:rPr>
          <w:rFonts w:cs="Calibri"/>
          <w:lang w:val="en-GB"/>
        </w:rPr>
        <w:t xml:space="preserve"> J, </w:t>
      </w:r>
      <w:proofErr w:type="spellStart"/>
      <w:r w:rsidRPr="00681ECD">
        <w:rPr>
          <w:rFonts w:cs="Calibri"/>
          <w:lang w:val="en-GB"/>
        </w:rPr>
        <w:t>Cacciola</w:t>
      </w:r>
      <w:proofErr w:type="spellEnd"/>
      <w:r w:rsidRPr="00681ECD">
        <w:rPr>
          <w:rFonts w:cs="Calibri"/>
          <w:lang w:val="en-GB"/>
        </w:rPr>
        <w:t xml:space="preserve"> J, </w:t>
      </w:r>
      <w:proofErr w:type="spellStart"/>
      <w:r w:rsidRPr="00681ECD">
        <w:rPr>
          <w:rFonts w:cs="Calibri"/>
          <w:lang w:val="en-GB"/>
        </w:rPr>
        <w:t>Ruetsch</w:t>
      </w:r>
      <w:proofErr w:type="spellEnd"/>
      <w:r w:rsidRPr="00681ECD">
        <w:rPr>
          <w:rFonts w:cs="Calibri"/>
          <w:lang w:val="en-GB"/>
        </w:rPr>
        <w:t xml:space="preserve"> C. </w:t>
      </w:r>
      <w:proofErr w:type="spellStart"/>
      <w:r w:rsidRPr="00681ECD">
        <w:rPr>
          <w:rFonts w:cs="Calibri"/>
          <w:bCs/>
          <w:color w:val="212121"/>
        </w:rPr>
        <w:t>Compliance</w:t>
      </w:r>
      <w:proofErr w:type="spellEnd"/>
      <w:r w:rsidRPr="00681ECD">
        <w:rPr>
          <w:rFonts w:cs="Calibri"/>
          <w:bCs/>
          <w:color w:val="212121"/>
        </w:rPr>
        <w:t xml:space="preserve"> </w:t>
      </w:r>
      <w:proofErr w:type="spellStart"/>
      <w:r w:rsidRPr="00681ECD">
        <w:rPr>
          <w:rFonts w:cs="Calibri"/>
          <w:bCs/>
          <w:color w:val="212121"/>
        </w:rPr>
        <w:t>with</w:t>
      </w:r>
      <w:proofErr w:type="spellEnd"/>
      <w:r w:rsidRPr="00681ECD">
        <w:rPr>
          <w:rFonts w:cs="Calibri"/>
          <w:bCs/>
          <w:color w:val="212121"/>
        </w:rPr>
        <w:t xml:space="preserve"> </w:t>
      </w:r>
      <w:proofErr w:type="spellStart"/>
      <w:r w:rsidRPr="00681ECD">
        <w:rPr>
          <w:rFonts w:cs="Calibri"/>
          <w:bCs/>
          <w:color w:val="212121"/>
        </w:rPr>
        <w:t>buprenorphine</w:t>
      </w:r>
      <w:proofErr w:type="spellEnd"/>
      <w:r w:rsidRPr="00681ECD">
        <w:rPr>
          <w:rFonts w:cs="Calibri"/>
          <w:bCs/>
          <w:color w:val="212121"/>
        </w:rPr>
        <w:t xml:space="preserve"> </w:t>
      </w:r>
      <w:proofErr w:type="spellStart"/>
      <w:r w:rsidRPr="00681ECD">
        <w:rPr>
          <w:rFonts w:cs="Calibri"/>
          <w:bCs/>
          <w:color w:val="212121"/>
        </w:rPr>
        <w:t>medication-assisted</w:t>
      </w:r>
      <w:proofErr w:type="spellEnd"/>
      <w:r w:rsidRPr="00681ECD">
        <w:rPr>
          <w:rFonts w:cs="Calibri"/>
          <w:bCs/>
          <w:color w:val="212121"/>
        </w:rPr>
        <w:t xml:space="preserve"> </w:t>
      </w:r>
      <w:proofErr w:type="spellStart"/>
      <w:r w:rsidRPr="00681ECD">
        <w:rPr>
          <w:rFonts w:cs="Calibri"/>
          <w:bCs/>
          <w:color w:val="212121"/>
        </w:rPr>
        <w:t>treatment</w:t>
      </w:r>
      <w:proofErr w:type="spellEnd"/>
      <w:r w:rsidRPr="00681ECD">
        <w:rPr>
          <w:rFonts w:cs="Calibri"/>
          <w:bCs/>
          <w:color w:val="212121"/>
        </w:rPr>
        <w:t xml:space="preserve"> and </w:t>
      </w:r>
      <w:proofErr w:type="spellStart"/>
      <w:r w:rsidRPr="00681ECD">
        <w:rPr>
          <w:rFonts w:cs="Calibri"/>
          <w:bCs/>
          <w:color w:val="212121"/>
        </w:rPr>
        <w:t>relapse</w:t>
      </w:r>
      <w:proofErr w:type="spellEnd"/>
      <w:r w:rsidRPr="00681ECD">
        <w:rPr>
          <w:rFonts w:cs="Calibri"/>
          <w:bCs/>
          <w:color w:val="212121"/>
        </w:rPr>
        <w:t xml:space="preserve"> to </w:t>
      </w:r>
      <w:proofErr w:type="spellStart"/>
      <w:r w:rsidRPr="00681ECD">
        <w:rPr>
          <w:rFonts w:cs="Calibri"/>
          <w:bCs/>
          <w:color w:val="212121"/>
        </w:rPr>
        <w:t>opioid</w:t>
      </w:r>
      <w:proofErr w:type="spellEnd"/>
      <w:r w:rsidRPr="00681ECD">
        <w:rPr>
          <w:rFonts w:cs="Calibri"/>
          <w:bCs/>
          <w:color w:val="212121"/>
        </w:rPr>
        <w:t xml:space="preserve"> </w:t>
      </w:r>
      <w:proofErr w:type="spellStart"/>
      <w:r w:rsidRPr="00681ECD">
        <w:rPr>
          <w:rFonts w:cs="Calibri"/>
          <w:bCs/>
          <w:color w:val="212121"/>
        </w:rPr>
        <w:t>use</w:t>
      </w:r>
      <w:proofErr w:type="spellEnd"/>
      <w:r w:rsidRPr="00681ECD">
        <w:rPr>
          <w:rFonts w:cs="Calibri"/>
          <w:bCs/>
          <w:color w:val="212121"/>
        </w:rPr>
        <w:t xml:space="preserve">. Am J </w:t>
      </w:r>
      <w:proofErr w:type="spellStart"/>
      <w:r w:rsidRPr="00681ECD">
        <w:rPr>
          <w:rFonts w:cs="Calibri"/>
          <w:bCs/>
          <w:color w:val="212121"/>
        </w:rPr>
        <w:t>Addcit</w:t>
      </w:r>
      <w:proofErr w:type="spellEnd"/>
      <w:r w:rsidRPr="00681ECD">
        <w:rPr>
          <w:rFonts w:cs="Calibri"/>
          <w:bCs/>
          <w:color w:val="212121"/>
        </w:rPr>
        <w:t xml:space="preserve"> 2012;</w:t>
      </w:r>
      <w:r w:rsidR="005D0060" w:rsidRPr="00681ECD">
        <w:rPr>
          <w:rFonts w:cs="Calibri"/>
          <w:bCs/>
          <w:color w:val="212121"/>
        </w:rPr>
        <w:t xml:space="preserve"> 21(1): 55-62</w:t>
      </w:r>
    </w:p>
  </w:endnote>
  <w:endnote w:id="7">
    <w:p w14:paraId="61E8D045" w14:textId="77777777" w:rsidR="00010267" w:rsidRPr="00041E5D" w:rsidRDefault="00010267">
      <w:pPr>
        <w:pStyle w:val="EndnoteText"/>
        <w:rPr>
          <w:rFonts w:cs="Calibri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Lofwall</w:t>
      </w:r>
      <w:proofErr w:type="spellEnd"/>
      <w:r w:rsidRPr="00681ECD">
        <w:rPr>
          <w:rFonts w:cs="Calibri"/>
        </w:rPr>
        <w:t xml:space="preserve"> M, </w:t>
      </w:r>
      <w:proofErr w:type="spellStart"/>
      <w:r w:rsidRPr="00681ECD">
        <w:rPr>
          <w:rFonts w:cs="Calibri"/>
        </w:rPr>
        <w:t>Walsh</w:t>
      </w:r>
      <w:proofErr w:type="spellEnd"/>
      <w:r w:rsidRPr="00681ECD">
        <w:rPr>
          <w:rFonts w:cs="Calibri"/>
        </w:rPr>
        <w:t xml:space="preserve"> S. </w:t>
      </w:r>
      <w:r w:rsidRPr="00681ECD">
        <w:rPr>
          <w:rFonts w:cs="Calibri"/>
          <w:color w:val="000000"/>
        </w:rPr>
        <w:t xml:space="preserve">A </w:t>
      </w:r>
      <w:proofErr w:type="spellStart"/>
      <w:r w:rsidRPr="00681ECD">
        <w:rPr>
          <w:rFonts w:cs="Calibri"/>
          <w:color w:val="000000"/>
        </w:rPr>
        <w:t>Review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of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Buprenorphine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Diversion</w:t>
      </w:r>
      <w:proofErr w:type="spellEnd"/>
      <w:r w:rsidRPr="00681ECD">
        <w:rPr>
          <w:rFonts w:cs="Calibri"/>
          <w:color w:val="000000"/>
        </w:rPr>
        <w:t xml:space="preserve"> and </w:t>
      </w:r>
      <w:proofErr w:type="spellStart"/>
      <w:r w:rsidRPr="00681ECD">
        <w:rPr>
          <w:rFonts w:cs="Calibri"/>
          <w:color w:val="000000"/>
        </w:rPr>
        <w:t>Misuse</w:t>
      </w:r>
      <w:proofErr w:type="spellEnd"/>
      <w:r w:rsidRPr="00681ECD">
        <w:rPr>
          <w:rFonts w:cs="Calibri"/>
          <w:color w:val="000000"/>
        </w:rPr>
        <w:t xml:space="preserve">: The </w:t>
      </w:r>
      <w:proofErr w:type="spellStart"/>
      <w:r w:rsidRPr="00681ECD">
        <w:rPr>
          <w:rFonts w:cs="Calibri"/>
          <w:color w:val="000000"/>
        </w:rPr>
        <w:t>Current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Evidence</w:t>
      </w:r>
      <w:proofErr w:type="spellEnd"/>
      <w:r w:rsidRPr="00681ECD">
        <w:rPr>
          <w:rFonts w:cs="Calibri"/>
          <w:color w:val="000000"/>
        </w:rPr>
        <w:t xml:space="preserve"> Base and </w:t>
      </w:r>
      <w:proofErr w:type="spellStart"/>
      <w:r w:rsidRPr="00681ECD">
        <w:rPr>
          <w:rFonts w:cs="Calibri"/>
          <w:color w:val="000000"/>
        </w:rPr>
        <w:t>Experiences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from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Around</w:t>
      </w:r>
      <w:proofErr w:type="spellEnd"/>
      <w:r w:rsidRPr="00681ECD">
        <w:rPr>
          <w:rFonts w:cs="Calibri"/>
          <w:color w:val="000000"/>
        </w:rPr>
        <w:t xml:space="preserve"> the </w:t>
      </w:r>
      <w:proofErr w:type="spellStart"/>
      <w:r w:rsidRPr="00681ECD">
        <w:rPr>
          <w:rFonts w:cs="Calibri"/>
          <w:color w:val="000000"/>
        </w:rPr>
        <w:t>World</w:t>
      </w:r>
      <w:proofErr w:type="spellEnd"/>
      <w:r w:rsidRPr="00681ECD">
        <w:rPr>
          <w:rFonts w:cs="Calibri"/>
          <w:color w:val="000000"/>
        </w:rPr>
        <w:t xml:space="preserve">. J </w:t>
      </w:r>
      <w:proofErr w:type="spellStart"/>
      <w:r w:rsidRPr="00681ECD">
        <w:rPr>
          <w:rFonts w:cs="Calibri"/>
          <w:color w:val="000000"/>
        </w:rPr>
        <w:t>Addict</w:t>
      </w:r>
      <w:proofErr w:type="spellEnd"/>
      <w:r w:rsidRPr="00681ECD">
        <w:rPr>
          <w:rFonts w:cs="Calibri"/>
          <w:color w:val="000000"/>
        </w:rPr>
        <w:t xml:space="preserve"> </w:t>
      </w:r>
      <w:proofErr w:type="spellStart"/>
      <w:r w:rsidRPr="00681ECD">
        <w:rPr>
          <w:rFonts w:cs="Calibri"/>
          <w:color w:val="000000"/>
        </w:rPr>
        <w:t>Med</w:t>
      </w:r>
      <w:proofErr w:type="spellEnd"/>
      <w:r w:rsidRPr="00681ECD">
        <w:rPr>
          <w:rFonts w:cs="Calibri"/>
          <w:color w:val="000000"/>
        </w:rPr>
        <w:t xml:space="preserve"> 2014; 8(5): 315 - 326</w:t>
      </w:r>
    </w:p>
  </w:endnote>
  <w:endnote w:id="8">
    <w:p w14:paraId="3B8ADF41" w14:textId="77777777" w:rsidR="00897A58" w:rsidRPr="00681ECD" w:rsidRDefault="00897A58">
      <w:pPr>
        <w:pStyle w:val="EndnoteText"/>
        <w:rPr>
          <w:rFonts w:cs="Calibri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Barnwal</w:t>
      </w:r>
      <w:proofErr w:type="spellEnd"/>
      <w:r w:rsidRPr="00681ECD">
        <w:rPr>
          <w:rFonts w:cs="Calibri"/>
        </w:rPr>
        <w:t xml:space="preserve"> P, </w:t>
      </w:r>
      <w:proofErr w:type="spellStart"/>
      <w:r w:rsidRPr="00681ECD">
        <w:rPr>
          <w:rFonts w:cs="Calibri"/>
        </w:rPr>
        <w:t>Saibal</w:t>
      </w:r>
      <w:proofErr w:type="spellEnd"/>
      <w:r w:rsidRPr="00681ECD">
        <w:rPr>
          <w:rFonts w:cs="Calibri"/>
        </w:rPr>
        <w:t xml:space="preserve"> D, </w:t>
      </w:r>
      <w:proofErr w:type="spellStart"/>
      <w:r w:rsidRPr="00681ECD">
        <w:rPr>
          <w:rFonts w:cs="Calibri"/>
        </w:rPr>
        <w:t>Mondal</w:t>
      </w:r>
      <w:proofErr w:type="spellEnd"/>
      <w:r w:rsidRPr="00681ECD">
        <w:rPr>
          <w:rFonts w:cs="Calibri"/>
        </w:rPr>
        <w:t xml:space="preserve"> S, </w:t>
      </w:r>
      <w:proofErr w:type="spellStart"/>
      <w:r w:rsidRPr="00681ECD">
        <w:rPr>
          <w:rFonts w:cs="Calibri"/>
        </w:rPr>
        <w:t>ramasamy</w:t>
      </w:r>
      <w:proofErr w:type="spellEnd"/>
      <w:r w:rsidRPr="00681ECD">
        <w:rPr>
          <w:rFonts w:cs="Calibri"/>
        </w:rPr>
        <w:t xml:space="preserve"> A, </w:t>
      </w:r>
      <w:proofErr w:type="spellStart"/>
      <w:r w:rsidRPr="00681ECD">
        <w:rPr>
          <w:rFonts w:cs="Calibri"/>
        </w:rPr>
        <w:t>Maiti</w:t>
      </w:r>
      <w:proofErr w:type="spellEnd"/>
      <w:r w:rsidRPr="00681ECD">
        <w:rPr>
          <w:rFonts w:cs="Calibri"/>
        </w:rPr>
        <w:t xml:space="preserve"> T, </w:t>
      </w:r>
      <w:proofErr w:type="spellStart"/>
      <w:r w:rsidRPr="00681ECD">
        <w:rPr>
          <w:rFonts w:cs="Calibri"/>
        </w:rPr>
        <w:t>Saaha</w:t>
      </w:r>
      <w:proofErr w:type="spellEnd"/>
      <w:r w:rsidRPr="00681ECD">
        <w:rPr>
          <w:rFonts w:cs="Calibri"/>
        </w:rPr>
        <w:t xml:space="preserve"> A. </w:t>
      </w:r>
      <w:proofErr w:type="spellStart"/>
      <w:r w:rsidRPr="00681ECD">
        <w:rPr>
          <w:rFonts w:cs="Calibri"/>
        </w:rPr>
        <w:t>Probuphine</w:t>
      </w:r>
      <w:proofErr w:type="spellEnd"/>
      <w:r w:rsidRPr="00681ECD">
        <w:rPr>
          <w:rFonts w:cs="Calibri"/>
        </w:rPr>
        <w:t xml:space="preserve"> (</w:t>
      </w:r>
      <w:proofErr w:type="spellStart"/>
      <w:r w:rsidRPr="00681ECD">
        <w:rPr>
          <w:rFonts w:cs="Calibri"/>
        </w:rPr>
        <w:t>buprenorphine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implant</w:t>
      </w:r>
      <w:proofErr w:type="spellEnd"/>
      <w:r w:rsidRPr="00681ECD">
        <w:rPr>
          <w:rFonts w:cs="Calibri"/>
        </w:rPr>
        <w:t xml:space="preserve">): a </w:t>
      </w:r>
      <w:proofErr w:type="spellStart"/>
      <w:r w:rsidRPr="00681ECD">
        <w:rPr>
          <w:rFonts w:cs="Calibri"/>
        </w:rPr>
        <w:t>promising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candidate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in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opioid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dependence</w:t>
      </w:r>
      <w:proofErr w:type="spellEnd"/>
      <w:r w:rsidRPr="00681ECD">
        <w:rPr>
          <w:rFonts w:cs="Calibri"/>
        </w:rPr>
        <w:t xml:space="preserve">. </w:t>
      </w:r>
      <w:proofErr w:type="spellStart"/>
      <w:r w:rsidRPr="00681ECD">
        <w:rPr>
          <w:rFonts w:cs="Calibri"/>
        </w:rPr>
        <w:t>Ther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Adv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Psychopharmacol</w:t>
      </w:r>
      <w:proofErr w:type="spellEnd"/>
      <w:r w:rsidRPr="00681ECD">
        <w:rPr>
          <w:rFonts w:cs="Calibri"/>
        </w:rPr>
        <w:t xml:space="preserve"> 2017; 7(3): 119-134</w:t>
      </w:r>
    </w:p>
  </w:endnote>
  <w:endnote w:id="9">
    <w:p w14:paraId="59A38193" w14:textId="77777777" w:rsidR="001E38DD" w:rsidRPr="00681ECD" w:rsidRDefault="001E38DD">
      <w:pPr>
        <w:pStyle w:val="EndnoteText"/>
        <w:rPr>
          <w:rFonts w:cs="Calibri"/>
          <w:lang w:val="en-GB"/>
        </w:rPr>
      </w:pPr>
      <w:r w:rsidRPr="00681ECD">
        <w:rPr>
          <w:rStyle w:val="EndnoteReference"/>
          <w:rFonts w:cs="Calibri"/>
        </w:rPr>
        <w:endnoteRef/>
      </w:r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Neale</w:t>
      </w:r>
      <w:proofErr w:type="spellEnd"/>
      <w:r w:rsidRPr="00681ECD">
        <w:rPr>
          <w:rFonts w:cs="Calibri"/>
        </w:rPr>
        <w:t xml:space="preserve"> J, </w:t>
      </w:r>
      <w:proofErr w:type="spellStart"/>
      <w:r w:rsidRPr="00681ECD">
        <w:rPr>
          <w:rFonts w:cs="Calibri"/>
        </w:rPr>
        <w:t>Tompkins</w:t>
      </w:r>
      <w:proofErr w:type="spellEnd"/>
      <w:r w:rsidRPr="00681ECD">
        <w:rPr>
          <w:rFonts w:cs="Calibri"/>
        </w:rPr>
        <w:t xml:space="preserve"> C, </w:t>
      </w:r>
      <w:proofErr w:type="spellStart"/>
      <w:r w:rsidRPr="00681ECD">
        <w:rPr>
          <w:rFonts w:cs="Calibri"/>
        </w:rPr>
        <w:t>McDonald</w:t>
      </w:r>
      <w:proofErr w:type="spellEnd"/>
      <w:r w:rsidRPr="00681ECD">
        <w:rPr>
          <w:rFonts w:cs="Calibri"/>
        </w:rPr>
        <w:t xml:space="preserve"> R, </w:t>
      </w:r>
      <w:proofErr w:type="spellStart"/>
      <w:r w:rsidRPr="00681ECD">
        <w:rPr>
          <w:rFonts w:cs="Calibri"/>
        </w:rPr>
        <w:t>Strang</w:t>
      </w:r>
      <w:proofErr w:type="spellEnd"/>
      <w:r w:rsidRPr="00681ECD">
        <w:rPr>
          <w:rFonts w:cs="Calibri"/>
        </w:rPr>
        <w:t xml:space="preserve"> J. </w:t>
      </w:r>
      <w:proofErr w:type="spellStart"/>
      <w:r w:rsidRPr="00681ECD">
        <w:rPr>
          <w:rFonts w:cs="Calibri"/>
        </w:rPr>
        <w:t>Patient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views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of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opioid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pharmacotherapy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bio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deliver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systems</w:t>
      </w:r>
      <w:proofErr w:type="spellEnd"/>
      <w:r w:rsidRPr="00681ECD">
        <w:rPr>
          <w:rFonts w:cs="Calibri"/>
        </w:rPr>
        <w:t xml:space="preserve">: </w:t>
      </w:r>
      <w:proofErr w:type="spellStart"/>
      <w:r w:rsidRPr="00681ECD">
        <w:rPr>
          <w:rFonts w:cs="Calibri"/>
        </w:rPr>
        <w:t>qualitative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study</w:t>
      </w:r>
      <w:proofErr w:type="spellEnd"/>
      <w:r w:rsidRPr="00681ECD">
        <w:rPr>
          <w:rFonts w:cs="Calibri"/>
        </w:rPr>
        <w:t xml:space="preserve"> to </w:t>
      </w:r>
      <w:proofErr w:type="spellStart"/>
      <w:r w:rsidRPr="00681ECD">
        <w:rPr>
          <w:rFonts w:cs="Calibri"/>
        </w:rPr>
        <w:t>assist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treatment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decision</w:t>
      </w:r>
      <w:proofErr w:type="spellEnd"/>
      <w:r w:rsidRPr="00681ECD">
        <w:rPr>
          <w:rFonts w:cs="Calibri"/>
        </w:rPr>
        <w:t xml:space="preserve"> </w:t>
      </w:r>
      <w:proofErr w:type="spellStart"/>
      <w:r w:rsidRPr="00681ECD">
        <w:rPr>
          <w:rFonts w:cs="Calibri"/>
        </w:rPr>
        <w:t>making</w:t>
      </w:r>
      <w:proofErr w:type="spellEnd"/>
      <w:r w:rsidRPr="00681ECD">
        <w:rPr>
          <w:rFonts w:cs="Calibri"/>
        </w:rPr>
        <w:t xml:space="preserve">. </w:t>
      </w:r>
      <w:r w:rsidRPr="00681ECD">
        <w:rPr>
          <w:rFonts w:cs="Calibri"/>
          <w:lang w:val="en-GB"/>
        </w:rPr>
        <w:t xml:space="preserve">Experimental and clinical </w:t>
      </w:r>
      <w:proofErr w:type="spellStart"/>
      <w:r w:rsidRPr="00681ECD">
        <w:rPr>
          <w:rFonts w:cs="Calibri"/>
          <w:lang w:val="en-GB"/>
        </w:rPr>
        <w:t>psychopharmacotherapy</w:t>
      </w:r>
      <w:proofErr w:type="spellEnd"/>
      <w:r w:rsidRPr="00681ECD">
        <w:rPr>
          <w:rFonts w:cs="Calibri"/>
          <w:lang w:val="en-GB"/>
        </w:rPr>
        <w:t xml:space="preserve"> 2018; 6: 570-581</w:t>
      </w:r>
    </w:p>
  </w:endnote>
  <w:endnote w:id="10">
    <w:p w14:paraId="70AED0BF" w14:textId="77777777" w:rsidR="001E38DD" w:rsidRPr="00681ECD" w:rsidRDefault="001E38DD" w:rsidP="00434EFF">
      <w:pPr>
        <w:pStyle w:val="NoSpacing"/>
        <w:rPr>
          <w:rFonts w:cs="Calibri"/>
          <w:sz w:val="20"/>
          <w:szCs w:val="20"/>
        </w:rPr>
      </w:pPr>
      <w:r w:rsidRPr="00681ECD">
        <w:rPr>
          <w:rStyle w:val="EndnoteReference"/>
          <w:rFonts w:cs="Calibri"/>
          <w:sz w:val="20"/>
          <w:szCs w:val="20"/>
        </w:rPr>
        <w:endnoteRef/>
      </w:r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Winstock</w:t>
      </w:r>
      <w:proofErr w:type="spellEnd"/>
      <w:r w:rsidRPr="00681ECD">
        <w:rPr>
          <w:rFonts w:cs="Calibri"/>
          <w:sz w:val="20"/>
          <w:szCs w:val="20"/>
        </w:rPr>
        <w:t xml:space="preserve"> AR, Lea T, </w:t>
      </w:r>
      <w:proofErr w:type="spellStart"/>
      <w:r w:rsidRPr="00681ECD">
        <w:rPr>
          <w:rFonts w:cs="Calibri"/>
          <w:sz w:val="20"/>
          <w:szCs w:val="20"/>
        </w:rPr>
        <w:t>Sheridan</w:t>
      </w:r>
      <w:proofErr w:type="spellEnd"/>
      <w:r w:rsidRPr="00681ECD">
        <w:rPr>
          <w:rFonts w:cs="Calibri"/>
          <w:sz w:val="20"/>
          <w:szCs w:val="20"/>
        </w:rPr>
        <w:t xml:space="preserve"> J. </w:t>
      </w:r>
      <w:proofErr w:type="spellStart"/>
      <w:r w:rsidRPr="00681ECD">
        <w:rPr>
          <w:rFonts w:cs="Calibri"/>
          <w:sz w:val="20"/>
          <w:szCs w:val="20"/>
        </w:rPr>
        <w:t>Prevalence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of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diversion</w:t>
      </w:r>
      <w:proofErr w:type="spellEnd"/>
      <w:r w:rsidRPr="00681ECD">
        <w:rPr>
          <w:rFonts w:cs="Calibri"/>
          <w:sz w:val="20"/>
          <w:szCs w:val="20"/>
        </w:rPr>
        <w:t xml:space="preserve"> and </w:t>
      </w:r>
      <w:proofErr w:type="spellStart"/>
      <w:r w:rsidRPr="00681ECD">
        <w:rPr>
          <w:rFonts w:cs="Calibri"/>
          <w:sz w:val="20"/>
          <w:szCs w:val="20"/>
        </w:rPr>
        <w:t>injection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of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methadone</w:t>
      </w:r>
      <w:proofErr w:type="spellEnd"/>
      <w:r w:rsidRPr="00681ECD">
        <w:rPr>
          <w:rFonts w:cs="Calibri"/>
          <w:sz w:val="20"/>
          <w:szCs w:val="20"/>
        </w:rPr>
        <w:t xml:space="preserve"> and </w:t>
      </w:r>
      <w:proofErr w:type="spellStart"/>
      <w:r w:rsidRPr="00681ECD">
        <w:rPr>
          <w:rFonts w:cs="Calibri"/>
          <w:sz w:val="20"/>
          <w:szCs w:val="20"/>
        </w:rPr>
        <w:t>buprenorphine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among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clients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receiving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opioid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treatment</w:t>
      </w:r>
      <w:proofErr w:type="spellEnd"/>
      <w:r w:rsidRPr="00681ECD">
        <w:rPr>
          <w:rFonts w:cs="Calibri"/>
          <w:sz w:val="20"/>
          <w:szCs w:val="20"/>
        </w:rPr>
        <w:t xml:space="preserve"> at </w:t>
      </w:r>
      <w:proofErr w:type="spellStart"/>
      <w:r w:rsidRPr="00681ECD">
        <w:rPr>
          <w:rFonts w:cs="Calibri"/>
          <w:sz w:val="20"/>
          <w:szCs w:val="20"/>
        </w:rPr>
        <w:t>community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pharmacies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in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New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South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Wales</w:t>
      </w:r>
      <w:proofErr w:type="spellEnd"/>
      <w:r w:rsidRPr="00681ECD">
        <w:rPr>
          <w:rFonts w:cs="Calibri"/>
          <w:sz w:val="20"/>
          <w:szCs w:val="20"/>
        </w:rPr>
        <w:t xml:space="preserve">, </w:t>
      </w:r>
      <w:proofErr w:type="spellStart"/>
      <w:r w:rsidRPr="00681ECD">
        <w:rPr>
          <w:rFonts w:cs="Calibri"/>
          <w:sz w:val="20"/>
          <w:szCs w:val="20"/>
        </w:rPr>
        <w:t>Australia</w:t>
      </w:r>
      <w:proofErr w:type="spellEnd"/>
      <w:r w:rsidRPr="00681ECD">
        <w:rPr>
          <w:rFonts w:cs="Calibri"/>
          <w:sz w:val="20"/>
          <w:szCs w:val="20"/>
        </w:rPr>
        <w:t xml:space="preserve">. </w:t>
      </w:r>
      <w:proofErr w:type="spellStart"/>
      <w:r w:rsidRPr="00681ECD">
        <w:rPr>
          <w:rFonts w:cs="Calibri"/>
          <w:sz w:val="20"/>
          <w:szCs w:val="20"/>
        </w:rPr>
        <w:t>Int</w:t>
      </w:r>
      <w:proofErr w:type="spellEnd"/>
      <w:r w:rsidRPr="00681ECD">
        <w:rPr>
          <w:rFonts w:cs="Calibri"/>
          <w:sz w:val="20"/>
          <w:szCs w:val="20"/>
        </w:rPr>
        <w:t xml:space="preserve"> J </w:t>
      </w:r>
      <w:proofErr w:type="spellStart"/>
      <w:r w:rsidRPr="00681ECD">
        <w:rPr>
          <w:rFonts w:cs="Calibri"/>
          <w:sz w:val="20"/>
          <w:szCs w:val="20"/>
        </w:rPr>
        <w:t>Drug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Policy</w:t>
      </w:r>
      <w:proofErr w:type="spellEnd"/>
      <w:r w:rsidRPr="00681ECD">
        <w:rPr>
          <w:rFonts w:cs="Calibri"/>
          <w:sz w:val="20"/>
          <w:szCs w:val="20"/>
        </w:rPr>
        <w:t>. 2008;19(6):450-8.</w:t>
      </w:r>
    </w:p>
  </w:endnote>
  <w:endnote w:id="11">
    <w:p w14:paraId="7D8B2240" w14:textId="77777777" w:rsidR="00010267" w:rsidRPr="00681ECD" w:rsidRDefault="00010267" w:rsidP="00434EFF">
      <w:pPr>
        <w:pStyle w:val="NoSpacing"/>
        <w:rPr>
          <w:rFonts w:cs="Calibri"/>
          <w:sz w:val="20"/>
          <w:szCs w:val="20"/>
        </w:rPr>
      </w:pPr>
      <w:r w:rsidRPr="00681ECD">
        <w:rPr>
          <w:rStyle w:val="EndnoteReference"/>
          <w:rFonts w:cs="Calibri"/>
          <w:sz w:val="20"/>
          <w:szCs w:val="20"/>
          <w:vertAlign w:val="baseline"/>
        </w:rPr>
        <w:endnoteRef/>
      </w:r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Style w:val="highwire-citation-author"/>
          <w:rFonts w:cs="Calibri"/>
          <w:sz w:val="20"/>
          <w:szCs w:val="20"/>
        </w:rPr>
        <w:t>Geib</w:t>
      </w:r>
      <w:proofErr w:type="spellEnd"/>
      <w:r w:rsidRPr="00681ECD">
        <w:rPr>
          <w:rStyle w:val="highwire-citation-author"/>
          <w:rFonts w:cs="Calibri"/>
          <w:sz w:val="20"/>
          <w:szCs w:val="20"/>
        </w:rPr>
        <w:t xml:space="preserve"> A-J</w:t>
      </w:r>
      <w:r w:rsidRPr="00681ECD">
        <w:rPr>
          <w:rFonts w:cs="Calibri"/>
          <w:sz w:val="20"/>
          <w:szCs w:val="20"/>
        </w:rPr>
        <w:t>, </w:t>
      </w:r>
      <w:r w:rsidRPr="00681ECD">
        <w:rPr>
          <w:rStyle w:val="highwire-citation-author"/>
          <w:rFonts w:cs="Calibri"/>
          <w:sz w:val="20"/>
          <w:szCs w:val="20"/>
        </w:rPr>
        <w:t>Babu K</w:t>
      </w:r>
      <w:r w:rsidRPr="00681ECD">
        <w:rPr>
          <w:rFonts w:cs="Calibri"/>
          <w:sz w:val="20"/>
          <w:szCs w:val="20"/>
        </w:rPr>
        <w:t>, </w:t>
      </w:r>
      <w:proofErr w:type="spellStart"/>
      <w:r w:rsidRPr="00681ECD">
        <w:rPr>
          <w:rStyle w:val="highwire-citation-author"/>
          <w:rFonts w:cs="Calibri"/>
          <w:sz w:val="20"/>
          <w:szCs w:val="20"/>
        </w:rPr>
        <w:t>Burns</w:t>
      </w:r>
      <w:proofErr w:type="spellEnd"/>
      <w:r w:rsidRPr="00681ECD">
        <w:rPr>
          <w:rStyle w:val="highwire-citation-author"/>
          <w:rFonts w:cs="Calibri"/>
          <w:sz w:val="20"/>
          <w:szCs w:val="20"/>
        </w:rPr>
        <w:t xml:space="preserve"> M, </w:t>
      </w:r>
      <w:proofErr w:type="spellStart"/>
      <w:r w:rsidRPr="00681ECD">
        <w:rPr>
          <w:rStyle w:val="highwire-citation-author"/>
          <w:rFonts w:cs="Calibri"/>
          <w:sz w:val="20"/>
          <w:szCs w:val="20"/>
        </w:rPr>
        <w:t>Boyer</w:t>
      </w:r>
      <w:proofErr w:type="spellEnd"/>
      <w:r w:rsidRPr="00681ECD">
        <w:rPr>
          <w:rStyle w:val="highwire-citation-author"/>
          <w:rFonts w:cs="Calibri"/>
          <w:sz w:val="20"/>
          <w:szCs w:val="20"/>
        </w:rPr>
        <w:t xml:space="preserve"> E. </w:t>
      </w:r>
      <w:proofErr w:type="spellStart"/>
      <w:r w:rsidRPr="00681ECD">
        <w:rPr>
          <w:rFonts w:cs="Calibri"/>
          <w:sz w:val="20"/>
          <w:szCs w:val="20"/>
        </w:rPr>
        <w:t>Adverse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Effects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in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Children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After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Unintentional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Buprenorphine</w:t>
      </w:r>
      <w:proofErr w:type="spellEnd"/>
      <w:r w:rsidRPr="00681ECD">
        <w:rPr>
          <w:rFonts w:cs="Calibri"/>
          <w:sz w:val="20"/>
          <w:szCs w:val="20"/>
        </w:rPr>
        <w:t xml:space="preserve"> </w:t>
      </w:r>
      <w:proofErr w:type="spellStart"/>
      <w:r w:rsidRPr="00681ECD">
        <w:rPr>
          <w:rFonts w:cs="Calibri"/>
          <w:sz w:val="20"/>
          <w:szCs w:val="20"/>
        </w:rPr>
        <w:t>Exposure</w:t>
      </w:r>
      <w:proofErr w:type="spellEnd"/>
      <w:r w:rsidR="005A04E8" w:rsidRPr="00681ECD">
        <w:rPr>
          <w:rFonts w:cs="Calibri"/>
          <w:sz w:val="20"/>
          <w:szCs w:val="20"/>
        </w:rPr>
        <w:t xml:space="preserve">. </w:t>
      </w:r>
      <w:proofErr w:type="spellStart"/>
      <w:r w:rsidR="005A04E8" w:rsidRPr="00681ECD">
        <w:rPr>
          <w:rFonts w:cs="Calibri"/>
          <w:sz w:val="20"/>
          <w:szCs w:val="20"/>
        </w:rPr>
        <w:t>Paediatrics</w:t>
      </w:r>
      <w:proofErr w:type="spellEnd"/>
      <w:r w:rsidR="005A04E8" w:rsidRPr="00681ECD">
        <w:rPr>
          <w:rFonts w:cs="Calibri"/>
          <w:sz w:val="20"/>
          <w:szCs w:val="20"/>
        </w:rPr>
        <w:t xml:space="preserve"> 2006;</w:t>
      </w:r>
      <w:r w:rsidR="00434EFF" w:rsidRPr="00681ECD">
        <w:rPr>
          <w:rFonts w:cs="Calibri"/>
          <w:sz w:val="20"/>
          <w:szCs w:val="20"/>
        </w:rPr>
        <w:t xml:space="preserve"> 118(4): 1746 - 1751</w:t>
      </w:r>
    </w:p>
  </w:endnote>
  <w:endnote w:id="12">
    <w:p w14:paraId="5DADDC9F" w14:textId="77777777" w:rsidR="00434EFF" w:rsidRPr="00681ECD" w:rsidRDefault="00010267" w:rsidP="00434EFF">
      <w:pPr>
        <w:pStyle w:val="NoSpacing"/>
        <w:rPr>
          <w:rFonts w:cs="Calibri"/>
          <w:sz w:val="20"/>
          <w:szCs w:val="20"/>
        </w:rPr>
      </w:pPr>
      <w:r w:rsidRPr="00681ECD">
        <w:rPr>
          <w:rStyle w:val="EndnoteReference"/>
          <w:rFonts w:cs="Calibri"/>
          <w:sz w:val="20"/>
          <w:szCs w:val="20"/>
          <w:vertAlign w:val="baseline"/>
        </w:rPr>
        <w:endnoteRef/>
      </w:r>
      <w:r w:rsidRPr="00681ECD">
        <w:rPr>
          <w:rFonts w:cs="Calibri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sz w:val="20"/>
          <w:szCs w:val="20"/>
        </w:rPr>
        <w:t>Post</w:t>
      </w:r>
      <w:proofErr w:type="spellEnd"/>
      <w:r w:rsidR="00434EFF" w:rsidRPr="00681ECD">
        <w:rPr>
          <w:rFonts w:cs="Calibri"/>
          <w:sz w:val="20"/>
          <w:szCs w:val="20"/>
        </w:rPr>
        <w:t xml:space="preserve"> S, </w:t>
      </w:r>
      <w:proofErr w:type="spellStart"/>
      <w:r w:rsidR="00434EFF" w:rsidRPr="00681ECD">
        <w:rPr>
          <w:rFonts w:cs="Calibri"/>
          <w:sz w:val="20"/>
          <w:szCs w:val="20"/>
        </w:rPr>
        <w:t>Spiller</w:t>
      </w:r>
      <w:proofErr w:type="spellEnd"/>
      <w:r w:rsidR="00434EFF" w:rsidRPr="00681ECD">
        <w:rPr>
          <w:rFonts w:cs="Calibri"/>
          <w:sz w:val="20"/>
          <w:szCs w:val="20"/>
        </w:rPr>
        <w:t xml:space="preserve"> M, </w:t>
      </w:r>
      <w:proofErr w:type="spellStart"/>
      <w:r w:rsidR="00434EFF" w:rsidRPr="00681ECD">
        <w:rPr>
          <w:rFonts w:cs="Calibri"/>
          <w:sz w:val="20"/>
          <w:szCs w:val="20"/>
        </w:rPr>
        <w:t>Casavant</w:t>
      </w:r>
      <w:proofErr w:type="spellEnd"/>
      <w:r w:rsidR="00434EFF" w:rsidRPr="00681ECD">
        <w:rPr>
          <w:rFonts w:cs="Calibri"/>
          <w:sz w:val="20"/>
          <w:szCs w:val="20"/>
        </w:rPr>
        <w:t xml:space="preserve"> M, </w:t>
      </w:r>
      <w:proofErr w:type="spellStart"/>
      <w:r w:rsidR="00434EFF" w:rsidRPr="00681ECD">
        <w:rPr>
          <w:rFonts w:cs="Calibri"/>
          <w:sz w:val="20"/>
          <w:szCs w:val="20"/>
        </w:rPr>
        <w:t>Chounthirath</w:t>
      </w:r>
      <w:proofErr w:type="spellEnd"/>
      <w:r w:rsidR="00434EFF" w:rsidRPr="00681ECD">
        <w:rPr>
          <w:rFonts w:cs="Calibri"/>
          <w:sz w:val="20"/>
          <w:szCs w:val="20"/>
        </w:rPr>
        <w:t xml:space="preserve"> T, Smith G.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Buprenorphine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Exposures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Among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Children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and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Adolescents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Reported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to US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Poison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Control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Centers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. </w:t>
      </w:r>
      <w:proofErr w:type="spellStart"/>
      <w:r w:rsidR="00434EFF" w:rsidRPr="00681ECD">
        <w:rPr>
          <w:rFonts w:cs="Calibri"/>
          <w:color w:val="131313"/>
          <w:spacing w:val="-7"/>
          <w:sz w:val="20"/>
          <w:szCs w:val="20"/>
        </w:rPr>
        <w:t>Pediatrics</w:t>
      </w:r>
      <w:proofErr w:type="spellEnd"/>
      <w:r w:rsidR="00434EFF" w:rsidRPr="00681ECD">
        <w:rPr>
          <w:rFonts w:cs="Calibri"/>
          <w:color w:val="131313"/>
          <w:spacing w:val="-7"/>
          <w:sz w:val="20"/>
          <w:szCs w:val="20"/>
        </w:rPr>
        <w:t xml:space="preserve"> 2015; 142 (1) </w:t>
      </w:r>
      <w:r w:rsidR="00434EFF" w:rsidRPr="00681ECD">
        <w:rPr>
          <w:rFonts w:cs="Calibri"/>
          <w:color w:val="000000"/>
          <w:sz w:val="20"/>
          <w:szCs w:val="20"/>
          <w:shd w:val="clear" w:color="auto" w:fill="FFFFFF"/>
        </w:rPr>
        <w:t>e20173652;</w:t>
      </w:r>
    </w:p>
    <w:p w14:paraId="71F5A4D6" w14:textId="77777777" w:rsidR="00434EFF" w:rsidRPr="005A04E8" w:rsidRDefault="00434EFF" w:rsidP="00434EFF">
      <w:pPr>
        <w:pStyle w:val="NoSpacing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369F" w14:textId="3B40A5E4" w:rsidR="003E11D8" w:rsidRDefault="003E11D8">
    <w:pPr>
      <w:pStyle w:val="Footer"/>
      <w:jc w:val="center"/>
    </w:pPr>
    <w:proofErr w:type="spellStart"/>
    <w:r>
      <w:t>Side</w:t>
    </w:r>
    <w:proofErr w:type="spellEnd"/>
    <w:r>
      <w:t xml:space="preserve"> </w:t>
    </w:r>
    <w:r w:rsidR="0038452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4529">
      <w:rPr>
        <w:b/>
        <w:bCs/>
        <w:sz w:val="24"/>
        <w:szCs w:val="24"/>
      </w:rPr>
      <w:fldChar w:fldCharType="separate"/>
    </w:r>
    <w:r w:rsidR="0004473E">
      <w:rPr>
        <w:b/>
        <w:bCs/>
        <w:noProof/>
        <w:sz w:val="24"/>
        <w:szCs w:val="24"/>
      </w:rPr>
      <w:t>5</w:t>
    </w:r>
    <w:r w:rsidR="00384529"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av</w:t>
    </w:r>
    <w:proofErr w:type="spellEnd"/>
    <w:r>
      <w:t xml:space="preserve"> </w:t>
    </w:r>
    <w:r w:rsidR="0038452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4529">
      <w:rPr>
        <w:b/>
        <w:bCs/>
        <w:sz w:val="24"/>
        <w:szCs w:val="24"/>
      </w:rPr>
      <w:fldChar w:fldCharType="separate"/>
    </w:r>
    <w:r w:rsidR="0004473E">
      <w:rPr>
        <w:b/>
        <w:bCs/>
        <w:noProof/>
        <w:sz w:val="24"/>
        <w:szCs w:val="24"/>
      </w:rPr>
      <w:t>5</w:t>
    </w:r>
    <w:r w:rsidR="00384529">
      <w:rPr>
        <w:b/>
        <w:bCs/>
        <w:sz w:val="24"/>
        <w:szCs w:val="24"/>
      </w:rPr>
      <w:fldChar w:fldCharType="end"/>
    </w:r>
  </w:p>
  <w:p w14:paraId="36D55977" w14:textId="77777777" w:rsidR="003E11D8" w:rsidRDefault="003E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2A55" w14:textId="77777777" w:rsidR="009C1754" w:rsidRDefault="009C1754" w:rsidP="00CB7C65">
      <w:pPr>
        <w:spacing w:after="0" w:line="240" w:lineRule="auto"/>
      </w:pPr>
      <w:r>
        <w:separator/>
      </w:r>
    </w:p>
  </w:footnote>
  <w:footnote w:type="continuationSeparator" w:id="0">
    <w:p w14:paraId="5CB29B39" w14:textId="77777777" w:rsidR="009C1754" w:rsidRDefault="009C1754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427A" w14:textId="64480511" w:rsidR="00CB7C65" w:rsidRDefault="002F6C2D">
    <w:pPr>
      <w:pStyle w:val="Header"/>
    </w:pPr>
    <w:r>
      <w:rPr>
        <w:noProof/>
        <w:lang w:val="en-GB" w:eastAsia="en-GB" w:bidi="hi-IN"/>
      </w:rPr>
      <w:drawing>
        <wp:inline distT="0" distB="0" distL="0" distR="0" wp14:anchorId="757BFB1E" wp14:editId="6B84E4BD">
          <wp:extent cx="1295400" cy="142875"/>
          <wp:effectExtent l="0" t="0" r="0" b="0"/>
          <wp:docPr id="2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7C183F5F" w14:textId="77777777" w:rsidR="00CB7C65" w:rsidRDefault="00CB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062"/>
    <w:multiLevelType w:val="hybridMultilevel"/>
    <w:tmpl w:val="9DE6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510"/>
    <w:multiLevelType w:val="hybridMultilevel"/>
    <w:tmpl w:val="689A6A4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7E37"/>
    <w:multiLevelType w:val="hybridMultilevel"/>
    <w:tmpl w:val="97FC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="Calibri" w:hAnsi="Symbol" w:cs="Mang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5CF0836"/>
    <w:multiLevelType w:val="hybridMultilevel"/>
    <w:tmpl w:val="B36A84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DF7E18"/>
    <w:multiLevelType w:val="hybridMultilevel"/>
    <w:tmpl w:val="A7E0D922"/>
    <w:lvl w:ilvl="0" w:tplc="68F64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10267"/>
    <w:rsid w:val="00014198"/>
    <w:rsid w:val="00022462"/>
    <w:rsid w:val="000277FD"/>
    <w:rsid w:val="00041E5D"/>
    <w:rsid w:val="0004473E"/>
    <w:rsid w:val="00050590"/>
    <w:rsid w:val="000515EF"/>
    <w:rsid w:val="00057B3D"/>
    <w:rsid w:val="00076738"/>
    <w:rsid w:val="000A425A"/>
    <w:rsid w:val="000B50DC"/>
    <w:rsid w:val="000D49B3"/>
    <w:rsid w:val="000F5697"/>
    <w:rsid w:val="00100517"/>
    <w:rsid w:val="00101FB5"/>
    <w:rsid w:val="001143A3"/>
    <w:rsid w:val="00122C7A"/>
    <w:rsid w:val="001679D4"/>
    <w:rsid w:val="001959E5"/>
    <w:rsid w:val="001B4BBB"/>
    <w:rsid w:val="001D5BD9"/>
    <w:rsid w:val="001E38DD"/>
    <w:rsid w:val="001F3262"/>
    <w:rsid w:val="001F3720"/>
    <w:rsid w:val="002003DF"/>
    <w:rsid w:val="002222EC"/>
    <w:rsid w:val="00230510"/>
    <w:rsid w:val="002339D3"/>
    <w:rsid w:val="002370F4"/>
    <w:rsid w:val="0025054C"/>
    <w:rsid w:val="00254965"/>
    <w:rsid w:val="00255569"/>
    <w:rsid w:val="0025634E"/>
    <w:rsid w:val="00267B27"/>
    <w:rsid w:val="00281A27"/>
    <w:rsid w:val="002833D7"/>
    <w:rsid w:val="002879D8"/>
    <w:rsid w:val="002B3123"/>
    <w:rsid w:val="002B6609"/>
    <w:rsid w:val="002C7275"/>
    <w:rsid w:val="002D4B8A"/>
    <w:rsid w:val="002E1425"/>
    <w:rsid w:val="002E4930"/>
    <w:rsid w:val="002F6C2D"/>
    <w:rsid w:val="00323B32"/>
    <w:rsid w:val="0032631B"/>
    <w:rsid w:val="00333470"/>
    <w:rsid w:val="00334037"/>
    <w:rsid w:val="00384529"/>
    <w:rsid w:val="0038658A"/>
    <w:rsid w:val="003A3838"/>
    <w:rsid w:val="003A7503"/>
    <w:rsid w:val="003B10C3"/>
    <w:rsid w:val="003B61CF"/>
    <w:rsid w:val="003C4399"/>
    <w:rsid w:val="003C6E52"/>
    <w:rsid w:val="003E11D8"/>
    <w:rsid w:val="00426A30"/>
    <w:rsid w:val="00434EFF"/>
    <w:rsid w:val="00444961"/>
    <w:rsid w:val="00444F95"/>
    <w:rsid w:val="004538A4"/>
    <w:rsid w:val="004730A9"/>
    <w:rsid w:val="0047521C"/>
    <w:rsid w:val="004763BD"/>
    <w:rsid w:val="00482A88"/>
    <w:rsid w:val="004940BB"/>
    <w:rsid w:val="004B1914"/>
    <w:rsid w:val="004B303D"/>
    <w:rsid w:val="004C0E4A"/>
    <w:rsid w:val="004C5BF6"/>
    <w:rsid w:val="004D5DC9"/>
    <w:rsid w:val="004D7648"/>
    <w:rsid w:val="005079D3"/>
    <w:rsid w:val="005177D5"/>
    <w:rsid w:val="00523306"/>
    <w:rsid w:val="00530EF2"/>
    <w:rsid w:val="00545860"/>
    <w:rsid w:val="00563C3F"/>
    <w:rsid w:val="005672BF"/>
    <w:rsid w:val="00585C27"/>
    <w:rsid w:val="005A04E8"/>
    <w:rsid w:val="005A083D"/>
    <w:rsid w:val="005B1D1C"/>
    <w:rsid w:val="005D0060"/>
    <w:rsid w:val="00621A74"/>
    <w:rsid w:val="00626C8C"/>
    <w:rsid w:val="00632D98"/>
    <w:rsid w:val="00643E8D"/>
    <w:rsid w:val="0065595D"/>
    <w:rsid w:val="00663E14"/>
    <w:rsid w:val="00681ECD"/>
    <w:rsid w:val="006906B5"/>
    <w:rsid w:val="006B1532"/>
    <w:rsid w:val="006D3711"/>
    <w:rsid w:val="006E4110"/>
    <w:rsid w:val="006E7D3F"/>
    <w:rsid w:val="006F6B4F"/>
    <w:rsid w:val="00702941"/>
    <w:rsid w:val="00713D5D"/>
    <w:rsid w:val="00730A3E"/>
    <w:rsid w:val="007526F3"/>
    <w:rsid w:val="0075491C"/>
    <w:rsid w:val="00756189"/>
    <w:rsid w:val="00756D80"/>
    <w:rsid w:val="007635ED"/>
    <w:rsid w:val="00787A53"/>
    <w:rsid w:val="007A1890"/>
    <w:rsid w:val="007A4A9A"/>
    <w:rsid w:val="007C0C42"/>
    <w:rsid w:val="007D2F96"/>
    <w:rsid w:val="007E4CA6"/>
    <w:rsid w:val="007F323B"/>
    <w:rsid w:val="007F6E8A"/>
    <w:rsid w:val="007F7717"/>
    <w:rsid w:val="00810846"/>
    <w:rsid w:val="00813657"/>
    <w:rsid w:val="00815484"/>
    <w:rsid w:val="00817F9D"/>
    <w:rsid w:val="00821413"/>
    <w:rsid w:val="008214FB"/>
    <w:rsid w:val="00826CDB"/>
    <w:rsid w:val="00830944"/>
    <w:rsid w:val="008639F1"/>
    <w:rsid w:val="00884A8C"/>
    <w:rsid w:val="00885EFB"/>
    <w:rsid w:val="00897A58"/>
    <w:rsid w:val="008A1B23"/>
    <w:rsid w:val="008A4D0D"/>
    <w:rsid w:val="008B4F91"/>
    <w:rsid w:val="008B6689"/>
    <w:rsid w:val="008B6D2F"/>
    <w:rsid w:val="008F23AC"/>
    <w:rsid w:val="008F4249"/>
    <w:rsid w:val="008F7244"/>
    <w:rsid w:val="008F7900"/>
    <w:rsid w:val="00905087"/>
    <w:rsid w:val="0091218A"/>
    <w:rsid w:val="009255DB"/>
    <w:rsid w:val="00942860"/>
    <w:rsid w:val="00947290"/>
    <w:rsid w:val="009520F3"/>
    <w:rsid w:val="00954523"/>
    <w:rsid w:val="00955918"/>
    <w:rsid w:val="00961A89"/>
    <w:rsid w:val="009633C4"/>
    <w:rsid w:val="009938B2"/>
    <w:rsid w:val="009A2711"/>
    <w:rsid w:val="009C1754"/>
    <w:rsid w:val="009C220B"/>
    <w:rsid w:val="009C3627"/>
    <w:rsid w:val="009C40CB"/>
    <w:rsid w:val="009C7C77"/>
    <w:rsid w:val="009E2F6B"/>
    <w:rsid w:val="00A04572"/>
    <w:rsid w:val="00A213B8"/>
    <w:rsid w:val="00A238FC"/>
    <w:rsid w:val="00A2459A"/>
    <w:rsid w:val="00A2476C"/>
    <w:rsid w:val="00A2778C"/>
    <w:rsid w:val="00A32BC9"/>
    <w:rsid w:val="00A33F89"/>
    <w:rsid w:val="00A51AE8"/>
    <w:rsid w:val="00A64189"/>
    <w:rsid w:val="00A86BD8"/>
    <w:rsid w:val="00AA06AF"/>
    <w:rsid w:val="00AA40D5"/>
    <w:rsid w:val="00AB7B2A"/>
    <w:rsid w:val="00AD7981"/>
    <w:rsid w:val="00AE58D8"/>
    <w:rsid w:val="00B00C9E"/>
    <w:rsid w:val="00B17578"/>
    <w:rsid w:val="00B31F53"/>
    <w:rsid w:val="00B454A4"/>
    <w:rsid w:val="00B55123"/>
    <w:rsid w:val="00B566D7"/>
    <w:rsid w:val="00B62381"/>
    <w:rsid w:val="00B66FF5"/>
    <w:rsid w:val="00B86A6E"/>
    <w:rsid w:val="00B86B26"/>
    <w:rsid w:val="00B97688"/>
    <w:rsid w:val="00BA2736"/>
    <w:rsid w:val="00BA5095"/>
    <w:rsid w:val="00BB39A8"/>
    <w:rsid w:val="00BE26FD"/>
    <w:rsid w:val="00BF612D"/>
    <w:rsid w:val="00BF61DB"/>
    <w:rsid w:val="00C21DD5"/>
    <w:rsid w:val="00C349CF"/>
    <w:rsid w:val="00C354DD"/>
    <w:rsid w:val="00C37399"/>
    <w:rsid w:val="00C517FD"/>
    <w:rsid w:val="00C605DC"/>
    <w:rsid w:val="00C61ECA"/>
    <w:rsid w:val="00C70E94"/>
    <w:rsid w:val="00C721F5"/>
    <w:rsid w:val="00C745AD"/>
    <w:rsid w:val="00C81155"/>
    <w:rsid w:val="00C81243"/>
    <w:rsid w:val="00CA4C79"/>
    <w:rsid w:val="00CB7C65"/>
    <w:rsid w:val="00CC284C"/>
    <w:rsid w:val="00CE205A"/>
    <w:rsid w:val="00CF509A"/>
    <w:rsid w:val="00CF6EB7"/>
    <w:rsid w:val="00D1082E"/>
    <w:rsid w:val="00D21FD6"/>
    <w:rsid w:val="00D50042"/>
    <w:rsid w:val="00D53539"/>
    <w:rsid w:val="00D77873"/>
    <w:rsid w:val="00D77A5F"/>
    <w:rsid w:val="00D806FF"/>
    <w:rsid w:val="00DA2091"/>
    <w:rsid w:val="00DA6ED6"/>
    <w:rsid w:val="00DB5230"/>
    <w:rsid w:val="00DD4A5B"/>
    <w:rsid w:val="00DD7398"/>
    <w:rsid w:val="00E10066"/>
    <w:rsid w:val="00E41B2F"/>
    <w:rsid w:val="00E45C83"/>
    <w:rsid w:val="00E83A05"/>
    <w:rsid w:val="00E91CD8"/>
    <w:rsid w:val="00EB6271"/>
    <w:rsid w:val="00EF2741"/>
    <w:rsid w:val="00F047E4"/>
    <w:rsid w:val="00F0797A"/>
    <w:rsid w:val="00F22C32"/>
    <w:rsid w:val="00F31DD7"/>
    <w:rsid w:val="00F51141"/>
    <w:rsid w:val="00F7097F"/>
    <w:rsid w:val="00F80C44"/>
    <w:rsid w:val="00F86E0A"/>
    <w:rsid w:val="00F933D7"/>
    <w:rsid w:val="00FC182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E8A19"/>
  <w15:docId w15:val="{1C10FF9A-ACC1-4156-966C-1816291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E11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E11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11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7C65"/>
  </w:style>
  <w:style w:type="paragraph" w:styleId="Footer">
    <w:name w:val="footer"/>
    <w:basedOn w:val="Normal"/>
    <w:link w:val="FooterChar"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7C65"/>
  </w:style>
  <w:style w:type="paragraph" w:styleId="BalloonText">
    <w:name w:val="Balloon Text"/>
    <w:basedOn w:val="Normal"/>
    <w:link w:val="BalloonTextChar"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C6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,Bullet 1"/>
    <w:basedOn w:val="Normal"/>
    <w:qFormat/>
    <w:rsid w:val="00CB7C6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4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745AD"/>
    <w:rPr>
      <w:sz w:val="20"/>
      <w:szCs w:val="20"/>
    </w:rPr>
  </w:style>
  <w:style w:type="character" w:styleId="FootnoteReference">
    <w:name w:val="footnote reference"/>
    <w:rsid w:val="00C745AD"/>
    <w:rPr>
      <w:vertAlign w:val="superscript"/>
    </w:rPr>
  </w:style>
  <w:style w:type="character" w:customStyle="1" w:styleId="Heading1Char">
    <w:name w:val="Heading 1 Char"/>
    <w:link w:val="Heading1"/>
    <w:rsid w:val="003E11D8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3E11D8"/>
    <w:rPr>
      <w:rFonts w:ascii="Cambria" w:eastAsia="Times New Roman" w:hAnsi="Cambria" w:cs="Mangal"/>
      <w:b/>
      <w:bCs/>
      <w:color w:val="4F81BD"/>
    </w:rPr>
  </w:style>
  <w:style w:type="table" w:styleId="TableGrid">
    <w:name w:val="Table Grid"/>
    <w:basedOn w:val="TableNormal"/>
    <w:rsid w:val="003E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11D8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rsid w:val="009C4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C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C40CB"/>
    <w:rPr>
      <w:b/>
      <w:bCs/>
    </w:rPr>
  </w:style>
  <w:style w:type="character" w:customStyle="1" w:styleId="CommentSubjectChar">
    <w:name w:val="Comment Subject Char"/>
    <w:link w:val="CommentSubject"/>
    <w:rsid w:val="009C40CB"/>
    <w:rPr>
      <w:b/>
      <w:bCs/>
      <w:sz w:val="20"/>
      <w:szCs w:val="20"/>
    </w:rPr>
  </w:style>
  <w:style w:type="character" w:customStyle="1" w:styleId="UnresolvedMention1">
    <w:name w:val="Unresolved Mention1"/>
    <w:rsid w:val="001F3720"/>
    <w:rPr>
      <w:color w:val="605E5C"/>
      <w:shd w:val="clear" w:color="auto" w:fill="E1DFDD"/>
    </w:rPr>
  </w:style>
  <w:style w:type="character" w:customStyle="1" w:styleId="FootnoteTextChar1">
    <w:name w:val="Footnote Text Char1"/>
    <w:locked/>
    <w:rsid w:val="007F6E8A"/>
    <w:rPr>
      <w:rFonts w:ascii="Arial Narrow" w:hAnsi="Arial Narrow" w:cs="Times New Roman"/>
      <w:lang w:val="it-IT" w:eastAsia="it-IT"/>
    </w:rPr>
  </w:style>
  <w:style w:type="paragraph" w:customStyle="1" w:styleId="Default">
    <w:name w:val="Default"/>
    <w:rsid w:val="007F77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rsid w:val="00730A3E"/>
    <w:rPr>
      <w:sz w:val="22"/>
      <w:szCs w:val="22"/>
    </w:rPr>
  </w:style>
  <w:style w:type="paragraph" w:styleId="EndnoteText">
    <w:name w:val="endnote text"/>
    <w:basedOn w:val="Normal"/>
    <w:link w:val="EndnoteTextChar"/>
    <w:rsid w:val="00281A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281A27"/>
    <w:rPr>
      <w:sz w:val="20"/>
      <w:szCs w:val="20"/>
    </w:rPr>
  </w:style>
  <w:style w:type="character" w:styleId="EndnoteReference">
    <w:name w:val="endnote reference"/>
    <w:rsid w:val="00281A27"/>
    <w:rPr>
      <w:vertAlign w:val="superscript"/>
    </w:rPr>
  </w:style>
  <w:style w:type="paragraph" w:styleId="NoSpacing">
    <w:name w:val="No Spacing"/>
    <w:qFormat/>
    <w:rsid w:val="00281A27"/>
    <w:rPr>
      <w:sz w:val="22"/>
      <w:szCs w:val="22"/>
    </w:rPr>
  </w:style>
  <w:style w:type="character" w:customStyle="1" w:styleId="UnresolvedMention">
    <w:name w:val="Unresolved Mention"/>
    <w:rsid w:val="00DD4A5B"/>
    <w:rPr>
      <w:color w:val="605E5C"/>
      <w:shd w:val="clear" w:color="auto" w:fill="E1DFDD"/>
    </w:rPr>
  </w:style>
  <w:style w:type="character" w:customStyle="1" w:styleId="highwire-citation-author">
    <w:name w:val="highwire-citation-author"/>
    <w:basedOn w:val="DefaultParagraphFont"/>
    <w:rsid w:val="0001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jsa_eriksson@accord-healthcar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yemetoder@helse-sorost.no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cssnow.org/wp-content/uploads/2014/02/PCSS-MATGuidanceAdherence-diversion-bup.Martin.pdf" TargetMode="External"/><Relationship Id="rId1" Type="http://schemas.openxmlformats.org/officeDocument/2006/relationships/hyperlink" Target="https://www.titanpharm.com/techn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C7547-2274-4F5C-B4E2-0FEC305F61E9}"/>
</file>

<file path=customXml/itemProps2.xml><?xml version="1.0" encoding="utf-8"?>
<ds:datastoreItem xmlns:ds="http://schemas.openxmlformats.org/officeDocument/2006/customXml" ds:itemID="{B015C047-D1F3-4FDC-9C3E-03E232A41BC9}"/>
</file>

<file path=customXml/itemProps3.xml><?xml version="1.0" encoding="utf-8"?>
<ds:datastoreItem xmlns:ds="http://schemas.openxmlformats.org/officeDocument/2006/customXml" ds:itemID="{15B8D2A4-34D1-426C-AE98-8A03373DC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Skilhagen Thormodsen</dc:creator>
  <cp:keywords/>
  <dc:description/>
  <cp:lastModifiedBy>Kajsa Eriksson</cp:lastModifiedBy>
  <cp:revision>2</cp:revision>
  <cp:lastPrinted>2019-11-28T11:53:00Z</cp:lastPrinted>
  <dcterms:created xsi:type="dcterms:W3CDTF">2020-11-10T16:27:00Z</dcterms:created>
  <dcterms:modified xsi:type="dcterms:W3CDTF">2020-11-10T16:27:00Z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