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46726" w14:textId="77777777" w:rsidR="00792BF9" w:rsidRDefault="00792BF9" w:rsidP="00792BF9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Innspillskjema for legemidler</w:t>
      </w:r>
      <w:r>
        <w:rPr>
          <w:b/>
          <w:sz w:val="28"/>
          <w:szCs w:val="28"/>
        </w:rPr>
        <w:br/>
      </w:r>
      <w:r w:rsidRPr="00BD0411">
        <w:rPr>
          <w:b/>
          <w:sz w:val="24"/>
          <w:szCs w:val="28"/>
        </w:rPr>
        <w:t xml:space="preserve">Opplysninger fra leverandør / produsent </w:t>
      </w:r>
    </w:p>
    <w:p w14:paraId="75B60EEB" w14:textId="0A367CE1" w:rsidR="00792BF9" w:rsidRDefault="00792BF9" w:rsidP="00792BF9">
      <w:pPr>
        <w:contextualSpacing/>
        <w:rPr>
          <w:b/>
        </w:rPr>
      </w:pPr>
      <w:r>
        <w:rPr>
          <w:rFonts w:cs="Arial"/>
        </w:rPr>
        <w:t>Leverandøren/produsenten har anledning til å komme med tilleggsopplysninger til en metode (forslag/metodevarsel) som er foreslått for nasjonal metodevurdering før den behandles av Bestillerforum RHF. Bruk dette skjema for å gi innspill til forslag/metodevarsler på metoder som har status «Forslag mottatt/åpent for innspill». Det er frivillig å fylle ut skjemaet.</w:t>
      </w:r>
      <w:r>
        <w:rPr>
          <w:rFonts w:cs="Arial"/>
        </w:rPr>
        <w:br/>
      </w:r>
      <w:r>
        <w:rPr>
          <w:rFonts w:cs="Arial"/>
        </w:rPr>
        <w:br/>
      </w:r>
      <w:r w:rsidRPr="00BB7BBF">
        <w:t>Innsendte skjema vil bli publisert i sin helhet</w:t>
      </w:r>
      <w:r>
        <w:t xml:space="preserve"> på nyemetoder.no</w:t>
      </w:r>
      <w:r w:rsidRPr="00BB7BBF">
        <w:t xml:space="preserve">. Dersom det er nødvendig informasjon for utfylling av skjemaet som ikke kan offentliggjøres ta kontakt med sekretariatet </w:t>
      </w:r>
      <w:r w:rsidRPr="00BB7BBF">
        <w:rPr>
          <w:u w:val="single"/>
        </w:rPr>
        <w:t>før innsending</w:t>
      </w:r>
      <w:r w:rsidR="004969CE">
        <w:rPr>
          <w:b/>
        </w:rPr>
        <w:t>.</w:t>
      </w:r>
      <w:r w:rsidR="004969CE">
        <w:rPr>
          <w:b/>
        </w:rPr>
        <w:br/>
      </w:r>
      <w:r w:rsidR="004969CE">
        <w:rPr>
          <w:b/>
        </w:rPr>
        <w:br/>
      </w:r>
      <w:r w:rsidRPr="00BB7BBF">
        <w:rPr>
          <w:b/>
        </w:rPr>
        <w:t xml:space="preserve">Jeg er klar over at skjemaet vil bli publisert i sin helhet (kryss av):                    </w:t>
      </w:r>
      <w:sdt>
        <w:sdtPr>
          <w:rPr>
            <w:b/>
          </w:rPr>
          <w:id w:val="-9255029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D6E4B">
            <w:rPr>
              <w:rFonts w:ascii="MS Gothic" w:eastAsia="MS Gothic" w:hAnsi="MS Gothic" w:hint="eastAsia"/>
              <w:b/>
            </w:rPr>
            <w:t>☒</w:t>
          </w:r>
        </w:sdtContent>
      </w:sdt>
    </w:p>
    <w:p w14:paraId="64673FB6" w14:textId="7980DDFE" w:rsidR="00792BF9" w:rsidRPr="00242CAC" w:rsidRDefault="00792BF9" w:rsidP="006D6E4B">
      <w:pPr>
        <w:contextualSpacing/>
        <w:rPr>
          <w:rFonts w:cs="Arial"/>
        </w:rPr>
      </w:pPr>
      <w:r>
        <w:rPr>
          <w:b/>
        </w:rPr>
        <w:t>Jeg</w:t>
      </w:r>
      <w:r w:rsidRPr="005805DE">
        <w:rPr>
          <w:b/>
        </w:rPr>
        <w:t xml:space="preserve"> har fylt ut </w:t>
      </w:r>
      <w:r>
        <w:rPr>
          <w:b/>
        </w:rPr>
        <w:t xml:space="preserve">siste </w:t>
      </w:r>
      <w:r w:rsidRPr="005805DE">
        <w:rPr>
          <w:b/>
        </w:rPr>
        <w:t>punkt</w:t>
      </w:r>
      <w:r>
        <w:rPr>
          <w:b/>
        </w:rPr>
        <w:t xml:space="preserve">et «Interesser og eventuelle </w:t>
      </w:r>
      <w:r w:rsidRPr="005805DE">
        <w:rPr>
          <w:b/>
        </w:rPr>
        <w:t>interessek</w:t>
      </w:r>
      <w:r>
        <w:rPr>
          <w:b/>
        </w:rPr>
        <w:t xml:space="preserve">onflikter» (kryss av):  </w:t>
      </w:r>
      <w:r w:rsidRPr="005805DE">
        <w:rPr>
          <w:b/>
        </w:rPr>
        <w:t xml:space="preserve">  </w:t>
      </w:r>
      <w:r w:rsidR="006D6E4B">
        <w:rPr>
          <w:b/>
        </w:rPr>
        <w:t>X</w:t>
      </w:r>
      <w:r w:rsidRPr="005805DE">
        <w:rPr>
          <w:rFonts w:ascii="MS Gothic" w:eastAsia="MS Gothic" w:hAnsi="MS Gothic" w:cs="MS Gothic" w:hint="eastAsia"/>
          <w:b/>
        </w:rPr>
        <w:t>☐</w:t>
      </w:r>
    </w:p>
    <w:p w14:paraId="68040A26" w14:textId="77777777" w:rsidR="00792BF9" w:rsidRPr="00D34EAE" w:rsidRDefault="00792BF9" w:rsidP="00792BF9">
      <w:pPr>
        <w:spacing w:line="240" w:lineRule="auto"/>
        <w:contextualSpacing/>
        <w:rPr>
          <w:sz w:val="20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792BF9" w14:paraId="4F5C75BD" w14:textId="77777777" w:rsidTr="0086697D">
        <w:trPr>
          <w:trHeight w:val="20"/>
        </w:trPr>
        <w:tc>
          <w:tcPr>
            <w:tcW w:w="8755" w:type="dxa"/>
            <w:gridSpan w:val="2"/>
          </w:tcPr>
          <w:p w14:paraId="7E063642" w14:textId="77777777" w:rsidR="00792BF9" w:rsidRDefault="00792BF9" w:rsidP="0086697D">
            <w:r>
              <w:t>Hvilken metode gjelder det</w:t>
            </w:r>
          </w:p>
        </w:tc>
      </w:tr>
      <w:tr w:rsidR="00792BF9" w14:paraId="67641EBA" w14:textId="77777777" w:rsidTr="0086697D">
        <w:tc>
          <w:tcPr>
            <w:tcW w:w="4077" w:type="dxa"/>
          </w:tcPr>
          <w:p w14:paraId="291DC5ED" w14:textId="77777777" w:rsidR="00792BF9" w:rsidRDefault="00792BF9" w:rsidP="0086697D">
            <w:r>
              <w:t>Metodens ID nummer*:</w:t>
            </w:r>
          </w:p>
        </w:tc>
        <w:tc>
          <w:tcPr>
            <w:tcW w:w="4678" w:type="dxa"/>
          </w:tcPr>
          <w:p w14:paraId="763EEF02" w14:textId="77777777" w:rsidR="00792BF9" w:rsidRDefault="00A615C9" w:rsidP="0086697D">
            <w:r w:rsidRPr="00A615C9">
              <w:t>ID2018_091</w:t>
            </w:r>
          </w:p>
        </w:tc>
      </w:tr>
      <w:tr w:rsidR="00792BF9" w14:paraId="2FE9FC4E" w14:textId="77777777" w:rsidTr="0086697D">
        <w:tc>
          <w:tcPr>
            <w:tcW w:w="4077" w:type="dxa"/>
          </w:tcPr>
          <w:p w14:paraId="06FBC148" w14:textId="77777777" w:rsidR="00792BF9" w:rsidRDefault="00792BF9" w:rsidP="0086697D">
            <w:r>
              <w:t>Metodens tittel:</w:t>
            </w:r>
          </w:p>
        </w:tc>
        <w:tc>
          <w:tcPr>
            <w:tcW w:w="4678" w:type="dxa"/>
          </w:tcPr>
          <w:p w14:paraId="0332965D" w14:textId="568F5423" w:rsidR="00A615C9" w:rsidRDefault="00A615C9" w:rsidP="0086697D">
            <w:pPr>
              <w:rPr>
                <w:rFonts w:ascii="Calibri" w:hAnsi="Calibri" w:cs="Calibri"/>
                <w:color w:val="222222"/>
              </w:rPr>
            </w:pPr>
            <w:r w:rsidRPr="00A615C9">
              <w:rPr>
                <w:rFonts w:ascii="Calibri" w:hAnsi="Calibri" w:cs="Calibri"/>
                <w:color w:val="222222"/>
              </w:rPr>
              <w:t>Eptacog alfa (Novo Seven</w:t>
            </w:r>
            <w:r w:rsidR="00576E5B">
              <w:rPr>
                <w:rFonts w:ascii="Calibri" w:hAnsi="Calibri" w:cs="Calibri"/>
                <w:color w:val="222222"/>
              </w:rPr>
              <w:t>®</w:t>
            </w:r>
            <w:r w:rsidRPr="00A615C9">
              <w:rPr>
                <w:rFonts w:ascii="Calibri" w:hAnsi="Calibri" w:cs="Calibri"/>
                <w:color w:val="222222"/>
              </w:rPr>
              <w:t xml:space="preserve">) </w:t>
            </w:r>
          </w:p>
          <w:p w14:paraId="46BF31E5" w14:textId="77777777" w:rsidR="00792BF9" w:rsidRDefault="00A615C9" w:rsidP="0086697D">
            <w:r>
              <w:rPr>
                <w:rFonts w:ascii="Calibri" w:hAnsi="Calibri" w:cs="Calibri"/>
                <w:color w:val="222222"/>
              </w:rPr>
              <w:t>Til bruk hos pasienter med blodplatedefekt av typen Glanzmanns trombasteni uten antistoffer mot blodplater, eller der blodplater for tilførsel ikke er lett tilgjengelig</w:t>
            </w:r>
          </w:p>
        </w:tc>
      </w:tr>
    </w:tbl>
    <w:p w14:paraId="3E810C36" w14:textId="77777777" w:rsidR="00792BF9" w:rsidRPr="00485D6B" w:rsidRDefault="00792BF9" w:rsidP="00792BF9">
      <w:pPr>
        <w:spacing w:line="240" w:lineRule="auto"/>
        <w:contextualSpacing/>
        <w:rPr>
          <w:sz w:val="18"/>
          <w:szCs w:val="24"/>
        </w:rPr>
      </w:pPr>
      <w:r w:rsidRPr="00614AEB">
        <w:rPr>
          <w:sz w:val="18"/>
          <w:szCs w:val="24"/>
        </w:rPr>
        <w:t>*ID2016_XX</w:t>
      </w:r>
    </w:p>
    <w:p w14:paraId="77BE3F37" w14:textId="77777777" w:rsidR="00792BF9" w:rsidRPr="00942F94" w:rsidRDefault="00792BF9" w:rsidP="00792BF9">
      <w:pPr>
        <w:spacing w:line="240" w:lineRule="auto"/>
        <w:contextualSpacing/>
        <w:rPr>
          <w:b/>
          <w:i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792BF9" w14:paraId="699BC61B" w14:textId="77777777" w:rsidTr="0086697D">
        <w:tc>
          <w:tcPr>
            <w:tcW w:w="4077" w:type="dxa"/>
          </w:tcPr>
          <w:p w14:paraId="588C2BBF" w14:textId="77777777" w:rsidR="00792BF9" w:rsidRDefault="00792BF9" w:rsidP="0086697D">
            <w:r>
              <w:t>Navn på leverandør / produsent:</w:t>
            </w:r>
          </w:p>
          <w:p w14:paraId="14772784" w14:textId="77777777" w:rsidR="00792BF9" w:rsidRDefault="00792BF9" w:rsidP="0086697D">
            <w:r>
              <w:t>Organisasjonsnummer:</w:t>
            </w:r>
          </w:p>
        </w:tc>
        <w:tc>
          <w:tcPr>
            <w:tcW w:w="4678" w:type="dxa"/>
          </w:tcPr>
          <w:p w14:paraId="3A33A05C" w14:textId="77777777" w:rsidR="00792BF9" w:rsidRDefault="00A615C9" w:rsidP="00A615C9">
            <w:r>
              <w:t>Novo Nordisk Scandinavia AS</w:t>
            </w:r>
          </w:p>
        </w:tc>
      </w:tr>
      <w:tr w:rsidR="00792BF9" w14:paraId="28514B9E" w14:textId="77777777" w:rsidTr="0086697D">
        <w:tc>
          <w:tcPr>
            <w:tcW w:w="4077" w:type="dxa"/>
          </w:tcPr>
          <w:p w14:paraId="180BEE1A" w14:textId="77777777" w:rsidR="00792BF9" w:rsidRDefault="00792BF9" w:rsidP="0086697D">
            <w:r>
              <w:t>Vi er leverandør av følgende legemiddel på det norske markedet:</w:t>
            </w:r>
          </w:p>
        </w:tc>
        <w:tc>
          <w:tcPr>
            <w:tcW w:w="4678" w:type="dxa"/>
          </w:tcPr>
          <w:p w14:paraId="1CBA0B54" w14:textId="492E797F" w:rsidR="00792BF9" w:rsidRDefault="00D95FAC" w:rsidP="0086697D">
            <w:r>
              <w:t>Novo Seven®</w:t>
            </w:r>
          </w:p>
        </w:tc>
      </w:tr>
      <w:tr w:rsidR="00792BF9" w:rsidRPr="004B50AB" w14:paraId="62D915BF" w14:textId="77777777" w:rsidTr="0086697D">
        <w:tc>
          <w:tcPr>
            <w:tcW w:w="4077" w:type="dxa"/>
          </w:tcPr>
          <w:p w14:paraId="51CEA56B" w14:textId="77777777" w:rsidR="00792BF9" w:rsidRDefault="00792BF9" w:rsidP="0086697D">
            <w:r>
              <w:t>Kontaktperson med kontaktinformasjon:</w:t>
            </w:r>
          </w:p>
        </w:tc>
        <w:tc>
          <w:tcPr>
            <w:tcW w:w="4678" w:type="dxa"/>
          </w:tcPr>
          <w:p w14:paraId="7FACDC79" w14:textId="77777777" w:rsidR="00792BF9" w:rsidRDefault="00A615C9" w:rsidP="0086697D">
            <w:r>
              <w:t>Jan Marcus Sverre</w:t>
            </w:r>
          </w:p>
          <w:p w14:paraId="25930FA9" w14:textId="77777777" w:rsidR="00A615C9" w:rsidRPr="00A615C9" w:rsidRDefault="00A615C9" w:rsidP="0086697D">
            <w:pPr>
              <w:rPr>
                <w:lang w:val="fr-FR"/>
              </w:rPr>
            </w:pPr>
            <w:r w:rsidRPr="00A615C9">
              <w:rPr>
                <w:lang w:val="fr-FR"/>
              </w:rPr>
              <w:t xml:space="preserve">Mail: </w:t>
            </w:r>
            <w:hyperlink r:id="rId10" w:history="1">
              <w:r w:rsidRPr="00A615C9">
                <w:rPr>
                  <w:rStyle w:val="Hyperkobling"/>
                  <w:lang w:val="fr-FR"/>
                </w:rPr>
                <w:t>jnsv@novonordisk.com</w:t>
              </w:r>
            </w:hyperlink>
          </w:p>
          <w:p w14:paraId="15CC8A0F" w14:textId="77777777" w:rsidR="00A615C9" w:rsidRPr="00A615C9" w:rsidRDefault="00A615C9" w:rsidP="0086697D">
            <w:pPr>
              <w:rPr>
                <w:lang w:val="fr-FR"/>
              </w:rPr>
            </w:pPr>
            <w:r w:rsidRPr="00A615C9">
              <w:rPr>
                <w:lang w:val="fr-FR"/>
              </w:rPr>
              <w:t>T</w:t>
            </w:r>
            <w:r>
              <w:rPr>
                <w:lang w:val="fr-FR"/>
              </w:rPr>
              <w:t xml:space="preserve">lf: 41471828 </w:t>
            </w:r>
          </w:p>
        </w:tc>
      </w:tr>
    </w:tbl>
    <w:p w14:paraId="3D243859" w14:textId="77777777" w:rsidR="00792BF9" w:rsidRPr="00A615C9" w:rsidRDefault="00792BF9" w:rsidP="00792BF9">
      <w:pPr>
        <w:rPr>
          <w:lang w:val="fr-FR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792BF9" w14:paraId="5C623E75" w14:textId="77777777" w:rsidTr="0086697D">
        <w:tc>
          <w:tcPr>
            <w:tcW w:w="8613" w:type="dxa"/>
          </w:tcPr>
          <w:p w14:paraId="319280C1" w14:textId="77777777" w:rsidR="00792BF9" w:rsidRDefault="00792BF9" w:rsidP="0086697D">
            <w:r>
              <w:t>Foreligger det Markedsføringstillatelse i Norge? Ja</w:t>
            </w:r>
            <w:r w:rsidR="00A615C9">
              <w:t xml:space="preserve"> </w:t>
            </w:r>
          </w:p>
        </w:tc>
      </w:tr>
      <w:tr w:rsidR="00792BF9" w14:paraId="03E271EF" w14:textId="77777777" w:rsidTr="0086697D">
        <w:trPr>
          <w:trHeight w:val="859"/>
        </w:trPr>
        <w:tc>
          <w:tcPr>
            <w:tcW w:w="8613" w:type="dxa"/>
          </w:tcPr>
          <w:p w14:paraId="4003003F" w14:textId="77777777" w:rsidR="00792BF9" w:rsidRDefault="00792BF9" w:rsidP="0086697D">
            <w:r>
              <w:t>I så fall:</w:t>
            </w:r>
          </w:p>
          <w:p w14:paraId="4E2D4063" w14:textId="12353DEE" w:rsidR="00792BF9" w:rsidRDefault="00792BF9" w:rsidP="0086697D">
            <w:r>
              <w:t>Tidspunkt for Markedsføringstillatelse:</w:t>
            </w:r>
            <w:r w:rsidR="00750F80">
              <w:t xml:space="preserve"> </w:t>
            </w:r>
            <w:r w:rsidR="00FE69AC">
              <w:t xml:space="preserve"> 200</w:t>
            </w:r>
            <w:r w:rsidR="00F602BF">
              <w:t>1</w:t>
            </w:r>
          </w:p>
          <w:p w14:paraId="390BE517" w14:textId="23A4CC38" w:rsidR="00BC1222" w:rsidRDefault="00792BF9" w:rsidP="0086697D">
            <w:r>
              <w:t>Godkjent</w:t>
            </w:r>
            <w:r w:rsidR="00F602BF">
              <w:t>e</w:t>
            </w:r>
            <w:r>
              <w:t xml:space="preserve"> indikasjon</w:t>
            </w:r>
            <w:r w:rsidR="00F602BF">
              <w:t>er fra 20</w:t>
            </w:r>
            <w:r w:rsidR="00D95FAC">
              <w:t>18</w:t>
            </w:r>
            <w:r>
              <w:t>:</w:t>
            </w:r>
            <w:r w:rsidR="00BC1222">
              <w:t xml:space="preserve"> </w:t>
            </w:r>
          </w:p>
          <w:p w14:paraId="18607601" w14:textId="77777777" w:rsidR="00BC1222" w:rsidRDefault="00BC1222" w:rsidP="0086697D">
            <w:r>
              <w:t xml:space="preserve">NovoSeven er indisert for behandling av blødningsepisoder og for å forhindre blødninger ved kirurgi eller invasiv undersøkelse hos følgende pasientgrupper: </w:t>
            </w:r>
          </w:p>
          <w:p w14:paraId="479BC540" w14:textId="77777777" w:rsidR="00BC1222" w:rsidRDefault="00BC1222" w:rsidP="00BC1222">
            <w:pPr>
              <w:pStyle w:val="Listeavsnitt"/>
              <w:numPr>
                <w:ilvl w:val="0"/>
                <w:numId w:val="7"/>
              </w:numPr>
            </w:pPr>
            <w:r>
              <w:t>hos pasienter med medfødt hemofili med inhibitorer mot koagulasjonsfaktor VIII eller IX &gt; 5 ”Bethesda Units” (BU)</w:t>
            </w:r>
          </w:p>
          <w:p w14:paraId="3DEB0DA1" w14:textId="77777777" w:rsidR="00BC1222" w:rsidRDefault="00BC1222" w:rsidP="00BC1222">
            <w:pPr>
              <w:pStyle w:val="Listeavsnitt"/>
              <w:numPr>
                <w:ilvl w:val="0"/>
                <w:numId w:val="7"/>
              </w:numPr>
            </w:pPr>
            <w:r>
              <w:t xml:space="preserve">hos pasienter med medfødt hemofili som forventes å ha høy anamnestisk respons på administrasjon av faktor VIII eller faktor IX </w:t>
            </w:r>
          </w:p>
          <w:p w14:paraId="7D76AA1C" w14:textId="77777777" w:rsidR="00BC1222" w:rsidRDefault="00BC1222" w:rsidP="00BC1222">
            <w:pPr>
              <w:pStyle w:val="Listeavsnitt"/>
              <w:numPr>
                <w:ilvl w:val="0"/>
                <w:numId w:val="7"/>
              </w:numPr>
            </w:pPr>
            <w:r>
              <w:t xml:space="preserve">hos pasienter med ervervet hemofili • hos pasienter med medfødt mangel på faktor VII 3 </w:t>
            </w:r>
          </w:p>
          <w:p w14:paraId="4C68DF18" w14:textId="77777777" w:rsidR="00792BF9" w:rsidRDefault="00BC1222" w:rsidP="00BC1222">
            <w:pPr>
              <w:pStyle w:val="Listeavsnitt"/>
              <w:numPr>
                <w:ilvl w:val="0"/>
                <w:numId w:val="7"/>
              </w:numPr>
            </w:pPr>
            <w:r>
              <w:t>hos pasienter med Glanzmanns trombasteni som har vært eller er refraktær mot blodplatetransfusjon, eller hvor blodplater ikke er tilgjengelig.</w:t>
            </w:r>
          </w:p>
          <w:p w14:paraId="6E437D59" w14:textId="77777777" w:rsidR="00BC1222" w:rsidRDefault="00BC1222" w:rsidP="00BC1222"/>
          <w:p w14:paraId="2E2CB32C" w14:textId="77777777" w:rsidR="00BC1222" w:rsidRDefault="00BC1222" w:rsidP="00BC1222"/>
        </w:tc>
      </w:tr>
    </w:tbl>
    <w:p w14:paraId="21399439" w14:textId="77777777" w:rsidR="00792BF9" w:rsidRDefault="00792BF9" w:rsidP="00792BF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792BF9" w14:paraId="227A9D12" w14:textId="77777777" w:rsidTr="0086697D">
        <w:tc>
          <w:tcPr>
            <w:tcW w:w="8613" w:type="dxa"/>
          </w:tcPr>
          <w:p w14:paraId="38F8239A" w14:textId="77777777" w:rsidR="00792BF9" w:rsidRDefault="00792BF9" w:rsidP="0086697D">
            <w:r>
              <w:t>Er legemidlet i bruk i Norge i dag? Ja</w:t>
            </w:r>
          </w:p>
        </w:tc>
      </w:tr>
      <w:tr w:rsidR="00792BF9" w14:paraId="49AB0EDD" w14:textId="77777777" w:rsidTr="0086697D">
        <w:trPr>
          <w:trHeight w:val="859"/>
        </w:trPr>
        <w:tc>
          <w:tcPr>
            <w:tcW w:w="8613" w:type="dxa"/>
          </w:tcPr>
          <w:p w14:paraId="54E87203" w14:textId="77777777" w:rsidR="00792BF9" w:rsidRDefault="00792BF9" w:rsidP="0086697D">
            <w:r>
              <w:t>Hvis legemidlet er i bruk:</w:t>
            </w:r>
          </w:p>
          <w:p w14:paraId="746AB8F3" w14:textId="76A9705D" w:rsidR="00792BF9" w:rsidRDefault="00792BF9" w:rsidP="0086697D">
            <w:r>
              <w:t>Fra hvilket tidspunkt har det vært i bruk:</w:t>
            </w:r>
            <w:r w:rsidR="00BC1222">
              <w:t xml:space="preserve"> </w:t>
            </w:r>
          </w:p>
          <w:p w14:paraId="5D48A814" w14:textId="398B650B" w:rsidR="00A274AE" w:rsidRDefault="00BB2868" w:rsidP="0086697D">
            <w:r>
              <w:t xml:space="preserve">Novo Seven har </w:t>
            </w:r>
            <w:r w:rsidR="007C02F8">
              <w:t>hatt markedsf</w:t>
            </w:r>
            <w:r w:rsidR="00654D66">
              <w:t xml:space="preserve">øringstillatelse fra 2001 og indisert for </w:t>
            </w:r>
            <w:r w:rsidR="00E72EB4">
              <w:t>behandling</w:t>
            </w:r>
            <w:r w:rsidR="00654D66">
              <w:t xml:space="preserve"> av </w:t>
            </w:r>
            <w:r w:rsidR="00E72EB4">
              <w:t>pasienter med Glanzmanns trombasteni fra 2004.</w:t>
            </w:r>
          </w:p>
          <w:p w14:paraId="42CFFE76" w14:textId="77777777" w:rsidR="00FE69AC" w:rsidRDefault="00792BF9" w:rsidP="0086697D">
            <w:r>
              <w:t>Nevn eventuelt(le) sted(er) det er i bruk:</w:t>
            </w:r>
            <w:r w:rsidR="00BC1222">
              <w:t xml:space="preserve"> </w:t>
            </w:r>
          </w:p>
          <w:p w14:paraId="3D4636A4" w14:textId="4F5E567A" w:rsidR="00792BF9" w:rsidRDefault="00BC1222" w:rsidP="0086697D">
            <w:r>
              <w:t xml:space="preserve">OUS initierer og </w:t>
            </w:r>
            <w:r w:rsidR="00DE5DD6">
              <w:t>monitorerer behandling med NovoSeven</w:t>
            </w:r>
            <w:r w:rsidR="00A57CD2">
              <w:t xml:space="preserve"> på lansdsbasis</w:t>
            </w:r>
          </w:p>
        </w:tc>
      </w:tr>
    </w:tbl>
    <w:p w14:paraId="42661398" w14:textId="77777777" w:rsidR="00792BF9" w:rsidRDefault="00792BF9" w:rsidP="00792BF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792BF9" w14:paraId="6C577604" w14:textId="77777777" w:rsidTr="0086697D">
        <w:tc>
          <w:tcPr>
            <w:tcW w:w="8613" w:type="dxa"/>
          </w:tcPr>
          <w:p w14:paraId="610A89DB" w14:textId="77777777" w:rsidR="00792BF9" w:rsidRDefault="00792BF9" w:rsidP="0086697D">
            <w:r>
              <w:t>Er legemidlet omtalt eller anbefalt i for eksempel nasjonale retningslinjer?</w:t>
            </w:r>
          </w:p>
        </w:tc>
      </w:tr>
      <w:tr w:rsidR="00792BF9" w:rsidRPr="00DE5DD6" w14:paraId="27227CBF" w14:textId="77777777" w:rsidTr="0086697D">
        <w:trPr>
          <w:trHeight w:val="469"/>
        </w:trPr>
        <w:tc>
          <w:tcPr>
            <w:tcW w:w="8613" w:type="dxa"/>
          </w:tcPr>
          <w:p w14:paraId="72576106" w14:textId="77777777" w:rsidR="00792BF9" w:rsidRDefault="00792BF9" w:rsidP="0086697D">
            <w:r>
              <w:t>I så fall beskriv:</w:t>
            </w:r>
          </w:p>
          <w:p w14:paraId="1D3220D6" w14:textId="77777777" w:rsidR="00792BF9" w:rsidRPr="00DE5DD6" w:rsidRDefault="00DE5DD6" w:rsidP="0086697D">
            <w:r w:rsidRPr="00DE5DD6">
              <w:t>NovoSeven er rangert som 1.valg</w:t>
            </w:r>
            <w:r>
              <w:t xml:space="preserve"> i LIS anbud 1912 Blodkoagulasjonsfaktorer</w:t>
            </w:r>
          </w:p>
        </w:tc>
      </w:tr>
    </w:tbl>
    <w:p w14:paraId="71187E68" w14:textId="77777777" w:rsidR="00792BF9" w:rsidRPr="00DE5DD6" w:rsidRDefault="00792BF9" w:rsidP="00792BF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792BF9" w14:paraId="11AF5571" w14:textId="77777777" w:rsidTr="0086697D">
        <w:tc>
          <w:tcPr>
            <w:tcW w:w="8613" w:type="dxa"/>
          </w:tcPr>
          <w:p w14:paraId="53B63F83" w14:textId="77777777" w:rsidR="00792BF9" w:rsidRDefault="00792BF9" w:rsidP="0086697D">
            <w:r>
              <w:t>Kjenner dere til om det er flere leverandører av legemidlet?</w:t>
            </w:r>
          </w:p>
        </w:tc>
      </w:tr>
      <w:tr w:rsidR="00792BF9" w14:paraId="21446B6B" w14:textId="77777777" w:rsidTr="0086697D">
        <w:trPr>
          <w:trHeight w:val="859"/>
        </w:trPr>
        <w:tc>
          <w:tcPr>
            <w:tcW w:w="8613" w:type="dxa"/>
          </w:tcPr>
          <w:p w14:paraId="0E6D8328" w14:textId="77777777" w:rsidR="00792BF9" w:rsidRDefault="00792BF9" w:rsidP="0086697D">
            <w:r>
              <w:t>I så fall hvilke(n):</w:t>
            </w:r>
          </w:p>
          <w:p w14:paraId="1A4D445D" w14:textId="77777777" w:rsidR="00792BF9" w:rsidRDefault="00DE5DD6" w:rsidP="0086697D">
            <w:r>
              <w:t>Nei</w:t>
            </w:r>
          </w:p>
        </w:tc>
      </w:tr>
    </w:tbl>
    <w:p w14:paraId="58D9B439" w14:textId="77777777" w:rsidR="00792BF9" w:rsidRDefault="00792BF9" w:rsidP="00792BF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792BF9" w14:paraId="68188E73" w14:textId="77777777" w:rsidTr="0086697D">
        <w:tc>
          <w:tcPr>
            <w:tcW w:w="8613" w:type="dxa"/>
          </w:tcPr>
          <w:p w14:paraId="32E3CC12" w14:textId="77777777" w:rsidR="00792BF9" w:rsidRDefault="00792BF9" w:rsidP="0086697D">
            <w:r>
              <w:t>Eventuelle innspill til hoved-/ underproblemstilling i forslaget/metodevarslet?</w:t>
            </w:r>
          </w:p>
        </w:tc>
      </w:tr>
      <w:tr w:rsidR="00792BF9" w:rsidRPr="00AD70AD" w14:paraId="0E6CCC36" w14:textId="77777777" w:rsidTr="0086697D">
        <w:trPr>
          <w:trHeight w:val="649"/>
        </w:trPr>
        <w:tc>
          <w:tcPr>
            <w:tcW w:w="8613" w:type="dxa"/>
          </w:tcPr>
          <w:p w14:paraId="4683823C" w14:textId="2C2E39FE" w:rsidR="00C840E7" w:rsidRDefault="00C840E7" w:rsidP="00CF4504">
            <w:r w:rsidRPr="00C840E7">
              <w:t>Det henvises til metodevarselet for NovoSeven med ID2018_091</w:t>
            </w:r>
          </w:p>
          <w:p w14:paraId="047390F4" w14:textId="60285AAA" w:rsidR="00C840E7" w:rsidRPr="003278CA" w:rsidRDefault="00C840E7" w:rsidP="00CF4504">
            <w:pPr>
              <w:rPr>
                <w:i/>
                <w:iCs/>
              </w:rPr>
            </w:pPr>
            <w:r w:rsidRPr="001732A0">
              <w:rPr>
                <w:b/>
                <w:bCs/>
                <w:i/>
                <w:iCs/>
              </w:rPr>
              <w:t xml:space="preserve">Novo Nordisk gjør oppmerksom på at </w:t>
            </w:r>
            <w:r w:rsidR="003278CA" w:rsidRPr="001732A0">
              <w:rPr>
                <w:b/>
                <w:bCs/>
                <w:i/>
                <w:iCs/>
              </w:rPr>
              <w:t xml:space="preserve">dette </w:t>
            </w:r>
            <w:r w:rsidRPr="001732A0">
              <w:rPr>
                <w:b/>
                <w:bCs/>
                <w:i/>
                <w:iCs/>
              </w:rPr>
              <w:t>metodevarselet er basert på en begrenset indikasjonsendring i en allerede godkjent indikasjon.</w:t>
            </w:r>
            <w:r w:rsidRPr="003278CA">
              <w:rPr>
                <w:i/>
                <w:iCs/>
              </w:rPr>
              <w:t xml:space="preserve"> </w:t>
            </w:r>
          </w:p>
          <w:p w14:paraId="2D28CE96" w14:textId="77777777" w:rsidR="00C840E7" w:rsidRDefault="00C840E7" w:rsidP="00CF4504">
            <w:pPr>
              <w:rPr>
                <w:i/>
                <w:iCs/>
              </w:rPr>
            </w:pPr>
          </w:p>
          <w:p w14:paraId="5E341C48" w14:textId="08512C9A" w:rsidR="00D75393" w:rsidRPr="00AC456F" w:rsidRDefault="005E11C0" w:rsidP="00CF4504">
            <w:pPr>
              <w:rPr>
                <w:i/>
                <w:iCs/>
              </w:rPr>
            </w:pPr>
            <w:r w:rsidRPr="00AC456F">
              <w:rPr>
                <w:i/>
                <w:iCs/>
              </w:rPr>
              <w:t>NovoSeven</w:t>
            </w:r>
            <w:r w:rsidR="00576E5B" w:rsidRPr="00AC456F">
              <w:rPr>
                <w:i/>
                <w:iCs/>
              </w:rPr>
              <w:t>®</w:t>
            </w:r>
            <w:r w:rsidRPr="00AC456F">
              <w:rPr>
                <w:i/>
                <w:iCs/>
              </w:rPr>
              <w:t xml:space="preserve"> (rFVIIa) fikk </w:t>
            </w:r>
            <w:r w:rsidR="008E4EAB" w:rsidRPr="00AC456F">
              <w:rPr>
                <w:i/>
                <w:iCs/>
              </w:rPr>
              <w:t xml:space="preserve">i 2004 </w:t>
            </w:r>
            <w:r w:rsidR="00D17D59" w:rsidRPr="00AC456F">
              <w:rPr>
                <w:i/>
                <w:iCs/>
              </w:rPr>
              <w:t xml:space="preserve">godkjent </w:t>
            </w:r>
            <w:r w:rsidR="008E4EAB" w:rsidRPr="00AC456F">
              <w:rPr>
                <w:i/>
                <w:iCs/>
              </w:rPr>
              <w:t>følgende indikasjoner:</w:t>
            </w:r>
          </w:p>
          <w:p w14:paraId="102DE222" w14:textId="0B3853FF" w:rsidR="00D75393" w:rsidRPr="00D75393" w:rsidRDefault="00CF4504" w:rsidP="00D75393">
            <w:r>
              <w:t>«</w:t>
            </w:r>
            <w:r w:rsidR="00D75393" w:rsidRPr="00D75393">
              <w:t>NovoSeven er indisert for behandling av blødningsepisoder og for å forhindre blødninger ved kirurgi eller invasiv undersøkelse hos følgende pasientgrupper</w:t>
            </w:r>
          </w:p>
          <w:p w14:paraId="4B48DC03" w14:textId="77777777" w:rsidR="00D75393" w:rsidRPr="00D75393" w:rsidRDefault="00D75393" w:rsidP="00D75393">
            <w:pPr>
              <w:numPr>
                <w:ilvl w:val="0"/>
                <w:numId w:val="8"/>
              </w:numPr>
              <w:snapToGrid w:val="0"/>
              <w:spacing w:line="260" w:lineRule="exact"/>
              <w:ind w:left="567" w:hanging="567"/>
            </w:pPr>
            <w:r w:rsidRPr="00D75393">
              <w:t>hos pasienter med medfødt hemofili med inhibitorer mot koagulasjonsfaktor VIII eller IX &gt; 5 BU</w:t>
            </w:r>
          </w:p>
          <w:p w14:paraId="452D38A1" w14:textId="77777777" w:rsidR="00D75393" w:rsidRPr="00D75393" w:rsidRDefault="00D75393" w:rsidP="00D75393">
            <w:pPr>
              <w:numPr>
                <w:ilvl w:val="0"/>
                <w:numId w:val="8"/>
              </w:numPr>
              <w:snapToGrid w:val="0"/>
              <w:spacing w:line="260" w:lineRule="exact"/>
              <w:ind w:left="567" w:hanging="567"/>
            </w:pPr>
            <w:r w:rsidRPr="00D75393">
              <w:t xml:space="preserve">hos pasienter med medfødt hemofili som forventes å ha høy anamnestisk respons på administrasjon av faktor VIII eller faktor IX </w:t>
            </w:r>
          </w:p>
          <w:p w14:paraId="72E254A6" w14:textId="77777777" w:rsidR="00D75393" w:rsidRDefault="00D75393" w:rsidP="00D75393">
            <w:pPr>
              <w:numPr>
                <w:ilvl w:val="0"/>
                <w:numId w:val="8"/>
              </w:numPr>
              <w:snapToGrid w:val="0"/>
              <w:spacing w:line="260" w:lineRule="exact"/>
              <w:ind w:left="567" w:hanging="567"/>
              <w:rPr>
                <w:lang w:val="nn-NO"/>
              </w:rPr>
            </w:pPr>
            <w:r>
              <w:rPr>
                <w:lang w:val="nn-NO"/>
              </w:rPr>
              <w:t xml:space="preserve">hos pasienter med ervervet hemofili </w:t>
            </w:r>
          </w:p>
          <w:p w14:paraId="6FD64E2D" w14:textId="77777777" w:rsidR="00D75393" w:rsidRPr="00D75393" w:rsidRDefault="00D75393" w:rsidP="00D75393">
            <w:pPr>
              <w:numPr>
                <w:ilvl w:val="0"/>
                <w:numId w:val="8"/>
              </w:numPr>
              <w:snapToGrid w:val="0"/>
              <w:spacing w:line="260" w:lineRule="exact"/>
              <w:ind w:left="567" w:hanging="567"/>
            </w:pPr>
            <w:r w:rsidRPr="00D75393">
              <w:t>hos pasienter med medfødt mangel på faktor VII</w:t>
            </w:r>
          </w:p>
          <w:p w14:paraId="0B820784" w14:textId="402B1D8B" w:rsidR="00D75393" w:rsidRPr="00D75393" w:rsidRDefault="00D75393" w:rsidP="00D75393">
            <w:pPr>
              <w:pStyle w:val="Brdtekst"/>
              <w:numPr>
                <w:ilvl w:val="0"/>
                <w:numId w:val="8"/>
              </w:numPr>
              <w:ind w:left="567" w:hanging="567"/>
              <w:rPr>
                <w:i w:val="0"/>
                <w:iCs w:val="0"/>
                <w:lang w:val="nb-NO"/>
              </w:rPr>
            </w:pPr>
            <w:r w:rsidRPr="00D75393">
              <w:rPr>
                <w:i w:val="0"/>
                <w:iCs w:val="0"/>
                <w:lang w:val="nb-NO"/>
              </w:rPr>
              <w:t>hos pasienter med Glanzmanns trombasteni med antistoffer mot GP IIb</w:t>
            </w:r>
            <w:r w:rsidRPr="00D75393">
              <w:rPr>
                <w:i w:val="0"/>
                <w:iCs w:val="0"/>
                <w:lang w:val="nb-NO"/>
              </w:rPr>
              <w:noBreakHyphen/>
              <w:t>IIIa og/eller HLA, og  som har vært eller er refraktær mot blodplatetransfusjon</w:t>
            </w:r>
            <w:r w:rsidR="00CF4504">
              <w:rPr>
                <w:i w:val="0"/>
                <w:iCs w:val="0"/>
                <w:lang w:val="nb-NO"/>
              </w:rPr>
              <w:t>»</w:t>
            </w:r>
            <w:r w:rsidRPr="00D75393">
              <w:rPr>
                <w:i w:val="0"/>
                <w:iCs w:val="0"/>
                <w:lang w:val="nb-NO"/>
              </w:rPr>
              <w:t>.</w:t>
            </w:r>
          </w:p>
          <w:p w14:paraId="34CAD4B3" w14:textId="77777777" w:rsidR="00D75393" w:rsidRDefault="00D75393" w:rsidP="0086697D"/>
          <w:p w14:paraId="5D87DC84" w14:textId="2F1DB4B9" w:rsidR="00F91C03" w:rsidRDefault="00E32F93" w:rsidP="0086697D">
            <w:r>
              <w:t xml:space="preserve">I </w:t>
            </w:r>
            <w:r w:rsidRPr="00AC456F">
              <w:rPr>
                <w:i/>
                <w:iCs/>
              </w:rPr>
              <w:t xml:space="preserve">2018 </w:t>
            </w:r>
            <w:r w:rsidR="00DF78F2" w:rsidRPr="00AC456F">
              <w:rPr>
                <w:i/>
                <w:iCs/>
              </w:rPr>
              <w:t>g</w:t>
            </w:r>
            <w:r w:rsidR="00F64F9C" w:rsidRPr="00AC456F">
              <w:rPr>
                <w:i/>
                <w:iCs/>
              </w:rPr>
              <w:t>odkjent</w:t>
            </w:r>
            <w:r w:rsidR="00DF78F2" w:rsidRPr="00AC456F">
              <w:rPr>
                <w:i/>
                <w:iCs/>
              </w:rPr>
              <w:t>e EMA</w:t>
            </w:r>
            <w:r w:rsidR="00F64F9C" w:rsidRPr="00AC456F">
              <w:rPr>
                <w:i/>
                <w:iCs/>
              </w:rPr>
              <w:t xml:space="preserve"> en </w:t>
            </w:r>
            <w:r w:rsidR="00B53BEE" w:rsidRPr="00AC456F">
              <w:rPr>
                <w:i/>
                <w:iCs/>
              </w:rPr>
              <w:t>indikasjons</w:t>
            </w:r>
            <w:r w:rsidR="00F64F9C" w:rsidRPr="00AC456F">
              <w:rPr>
                <w:i/>
                <w:iCs/>
              </w:rPr>
              <w:t xml:space="preserve">endring </w:t>
            </w:r>
            <w:r w:rsidR="00A872F2" w:rsidRPr="00AC456F">
              <w:rPr>
                <w:i/>
                <w:iCs/>
              </w:rPr>
              <w:t xml:space="preserve">som omhandler </w:t>
            </w:r>
            <w:r w:rsidR="00F64F9C" w:rsidRPr="00AC456F">
              <w:rPr>
                <w:i/>
                <w:iCs/>
              </w:rPr>
              <w:t xml:space="preserve">behandling av pasienter med </w:t>
            </w:r>
            <w:r w:rsidR="00A872F2" w:rsidRPr="00AC456F">
              <w:rPr>
                <w:i/>
                <w:iCs/>
              </w:rPr>
              <w:t>Glanzmanns tr</w:t>
            </w:r>
            <w:r w:rsidR="00F91C03" w:rsidRPr="00AC456F">
              <w:rPr>
                <w:i/>
                <w:iCs/>
              </w:rPr>
              <w:t>ombasteni</w:t>
            </w:r>
            <w:r w:rsidR="005F626F" w:rsidRPr="00AC456F">
              <w:rPr>
                <w:i/>
                <w:iCs/>
              </w:rPr>
              <w:t xml:space="preserve">. </w:t>
            </w:r>
            <w:r w:rsidR="005F626F">
              <w:t xml:space="preserve">Indikasjonen ble endret til </w:t>
            </w:r>
            <w:r w:rsidR="00F91C03">
              <w:t xml:space="preserve">følgende: </w:t>
            </w:r>
          </w:p>
          <w:p w14:paraId="353A9AFB" w14:textId="77777777" w:rsidR="00F91C03" w:rsidRPr="00F91C03" w:rsidRDefault="00F91C03" w:rsidP="00F91C03">
            <w:pPr>
              <w:pStyle w:val="Listeavsnitt"/>
              <w:numPr>
                <w:ilvl w:val="0"/>
                <w:numId w:val="9"/>
              </w:numPr>
              <w:rPr>
                <w:b/>
              </w:rPr>
            </w:pPr>
            <w:r w:rsidRPr="00F91C03">
              <w:rPr>
                <w:b/>
                <w:iCs/>
              </w:rPr>
              <w:t>hos pasienter med Glanzmanns trombasteni som har vært eller er refraktær mot blodplatetransfusjon, eller hvor blodplater ikke er tilgjengelig</w:t>
            </w:r>
          </w:p>
          <w:p w14:paraId="33F15DA5" w14:textId="77777777" w:rsidR="00F91C03" w:rsidRDefault="00F91C03" w:rsidP="0086697D"/>
          <w:p w14:paraId="4FD1C3EE" w14:textId="16D7E9EA" w:rsidR="008B4F74" w:rsidRPr="003C67C4" w:rsidRDefault="009E45D5" w:rsidP="009E45D5">
            <w:pPr>
              <w:rPr>
                <w:lang w:val="pt-BR"/>
              </w:rPr>
            </w:pPr>
            <w:r w:rsidRPr="006F075A">
              <w:t xml:space="preserve">Grunnlaget for </w:t>
            </w:r>
            <w:r w:rsidR="003A0FDE" w:rsidRPr="006F075A">
              <w:t xml:space="preserve">EMAs </w:t>
            </w:r>
            <w:r w:rsidR="00CB7D03" w:rsidRPr="006F075A">
              <w:t>go</w:t>
            </w:r>
            <w:r w:rsidR="003A0FDE" w:rsidRPr="006F075A">
              <w:t>dkjenni</w:t>
            </w:r>
            <w:r w:rsidR="008B4F74" w:rsidRPr="006F075A">
              <w:t>ng</w:t>
            </w:r>
            <w:r w:rsidR="003A0FDE" w:rsidRPr="006F075A">
              <w:t xml:space="preserve"> av denne Type 2 variasjonen </w:t>
            </w:r>
            <w:r w:rsidR="008B4F74" w:rsidRPr="006F075A">
              <w:t>(</w:t>
            </w:r>
            <w:r w:rsidRPr="006F075A">
              <w:t>indika</w:t>
            </w:r>
            <w:r w:rsidR="008B4F74" w:rsidRPr="006F075A">
              <w:t>sjons</w:t>
            </w:r>
            <w:r w:rsidRPr="006F075A">
              <w:t>sendring</w:t>
            </w:r>
            <w:r w:rsidR="001732A0">
              <w:t>en</w:t>
            </w:r>
            <w:r w:rsidR="008B4F74" w:rsidRPr="006F075A">
              <w:t xml:space="preserve">) fremkommer i </w:t>
            </w:r>
            <w:r w:rsidR="00AC456F">
              <w:t>«</w:t>
            </w:r>
            <w:r w:rsidR="006F075A">
              <w:t xml:space="preserve">Assessment report NovoSeven International non-proprietary name: eptacog alfa (activated) Procedure No. </w:t>
            </w:r>
            <w:r w:rsidR="006F075A" w:rsidRPr="003C67C4">
              <w:rPr>
                <w:lang w:val="pt-BR"/>
              </w:rPr>
              <w:t>EMEA/H/C/000074/II/0104</w:t>
            </w:r>
            <w:r w:rsidR="00F123A9">
              <w:rPr>
                <w:lang w:val="pt-BR"/>
              </w:rPr>
              <w:t>”:</w:t>
            </w:r>
            <w:r w:rsidR="00207B6A" w:rsidRPr="003C67C4">
              <w:rPr>
                <w:lang w:val="pt-BR"/>
              </w:rPr>
              <w:t xml:space="preserve"> </w:t>
            </w:r>
            <w:r w:rsidR="003C67C4" w:rsidRPr="003C67C4">
              <w:rPr>
                <w:lang w:val="pt-BR"/>
              </w:rPr>
              <w:t>(</w:t>
            </w:r>
            <w:hyperlink r:id="rId11" w:history="1">
              <w:r w:rsidR="003C67C4" w:rsidRPr="003C67C4">
                <w:rPr>
                  <w:rStyle w:val="Hyperkobling"/>
                  <w:lang w:val="pt-BR"/>
                </w:rPr>
                <w:t>https://www.ema.europa.eu/en/documents/variation-report/novoseven-h-c-000074-ii-0104-epar-assessment-report-variation_en.pdf</w:t>
              </w:r>
            </w:hyperlink>
            <w:r w:rsidR="003C67C4" w:rsidRPr="003C67C4">
              <w:rPr>
                <w:lang w:val="pt-BR"/>
              </w:rPr>
              <w:t>)</w:t>
            </w:r>
          </w:p>
          <w:p w14:paraId="424F4EDC" w14:textId="35E88284" w:rsidR="009E45D5" w:rsidRPr="008B4F74" w:rsidRDefault="003C67C4" w:rsidP="009E45D5">
            <w:pPr>
              <w:rPr>
                <w:lang w:val="en-GB"/>
              </w:rPr>
            </w:pPr>
            <w:r>
              <w:rPr>
                <w:lang w:val="en-GB"/>
              </w:rPr>
              <w:t>“</w:t>
            </w:r>
            <w:r w:rsidR="008B4F74" w:rsidRPr="008B4F74">
              <w:rPr>
                <w:lang w:val="en-GB"/>
              </w:rPr>
              <w:t xml:space="preserve">Extension of Indication to include patients with Glanzmann’s thrombasthenia without antibodies to platelets, or where platelets are not readily available, </w:t>
            </w:r>
            <w:r w:rsidR="001732A0">
              <w:rPr>
                <w:lang w:val="en-GB"/>
              </w:rPr>
              <w:t xml:space="preserve">is </w:t>
            </w:r>
            <w:r w:rsidR="008B4F74" w:rsidRPr="008B4F74">
              <w:rPr>
                <w:lang w:val="en-GB"/>
              </w:rPr>
              <w:t>based on a prospective observational registry and literature references</w:t>
            </w:r>
            <w:r>
              <w:rPr>
                <w:lang w:val="en-GB"/>
              </w:rPr>
              <w:t>”</w:t>
            </w:r>
            <w:r w:rsidR="008B4F74" w:rsidRPr="008B4F74">
              <w:rPr>
                <w:lang w:val="en-GB"/>
              </w:rPr>
              <w:t>.</w:t>
            </w:r>
            <w:r w:rsidR="009E45D5" w:rsidRPr="008B4F74">
              <w:rPr>
                <w:lang w:val="en-GB"/>
              </w:rPr>
              <w:t xml:space="preserve">  </w:t>
            </w:r>
          </w:p>
          <w:p w14:paraId="2E323929" w14:textId="77777777" w:rsidR="009E45D5" w:rsidRPr="008B4F74" w:rsidRDefault="009E45D5" w:rsidP="009E45D5">
            <w:pPr>
              <w:rPr>
                <w:lang w:val="en-GB"/>
              </w:rPr>
            </w:pPr>
          </w:p>
          <w:p w14:paraId="12AC0C55" w14:textId="35D62979" w:rsidR="008E404C" w:rsidRDefault="00BA08E2" w:rsidP="007752FA">
            <w:r>
              <w:t>Som det fremk</w:t>
            </w:r>
            <w:r w:rsidR="000F2320">
              <w:t xml:space="preserve">ommer av </w:t>
            </w:r>
            <w:r w:rsidR="006C281E">
              <w:t xml:space="preserve">det aktuelle </w:t>
            </w:r>
            <w:r w:rsidR="000F2320">
              <w:t xml:space="preserve">metodevarselet og beskrivelsen av </w:t>
            </w:r>
            <w:r w:rsidR="00B81729">
              <w:t>m</w:t>
            </w:r>
            <w:r w:rsidR="00AD70AD">
              <w:t>edfødte blodplatedefekter (Trombocyttdefekter)</w:t>
            </w:r>
            <w:r w:rsidR="007752FA">
              <w:t xml:space="preserve"> </w:t>
            </w:r>
            <w:r w:rsidR="00B81729">
              <w:t xml:space="preserve">fra </w:t>
            </w:r>
            <w:r w:rsidR="007752FA">
              <w:t>Senter for sjeldne sykdommer</w:t>
            </w:r>
            <w:r w:rsidR="00B00E75">
              <w:t xml:space="preserve">  </w:t>
            </w:r>
            <w:r w:rsidR="00C8423D">
              <w:t>(</w:t>
            </w:r>
            <w:hyperlink r:id="rId12" w:history="1">
              <w:r w:rsidR="00C8423D" w:rsidRPr="00102629">
                <w:rPr>
                  <w:rStyle w:val="Hyperkobling"/>
                </w:rPr>
                <w:t>https://sjeldnediagnoser.no/home/sjeldnediagnoser/Trombocyttsykdommer/8563</w:t>
              </w:r>
            </w:hyperlink>
            <w:r w:rsidR="00C8423D">
              <w:t xml:space="preserve">) </w:t>
            </w:r>
            <w:r w:rsidR="00173542">
              <w:t xml:space="preserve">er </w:t>
            </w:r>
            <w:r w:rsidR="00C8423D">
              <w:t xml:space="preserve"> Glanzman</w:t>
            </w:r>
            <w:r w:rsidR="00173542">
              <w:t xml:space="preserve">ns trombasteni </w:t>
            </w:r>
            <w:r w:rsidR="00A85337">
              <w:t>en arvelig og meget sjelden lidelse.</w:t>
            </w:r>
            <w:r w:rsidR="006C281E">
              <w:t xml:space="preserve"> </w:t>
            </w:r>
            <w:r w:rsidR="00F83D19">
              <w:t xml:space="preserve">Det er estimert at prevalens av </w:t>
            </w:r>
            <w:r w:rsidR="005B1DFF">
              <w:t>(ikke i</w:t>
            </w:r>
            <w:r w:rsidR="006C281E">
              <w:t>nsidens</w:t>
            </w:r>
            <w:r w:rsidR="005B1DFF">
              <w:t xml:space="preserve"> slik det anføres i metodevarselet) er</w:t>
            </w:r>
            <w:r w:rsidR="006C281E">
              <w:t xml:space="preserve"> </w:t>
            </w:r>
            <w:r w:rsidR="00457E47">
              <w:t>ca 1: 1 000</w:t>
            </w:r>
            <w:r w:rsidR="00BD31B0">
              <w:t> </w:t>
            </w:r>
            <w:r w:rsidR="00457E47">
              <w:t>000</w:t>
            </w:r>
            <w:r w:rsidR="00BD31B0">
              <w:t xml:space="preserve"> </w:t>
            </w:r>
            <w:r w:rsidR="00BD31B0" w:rsidRPr="00BD31B0">
              <w:t xml:space="preserve"> </w:t>
            </w:r>
            <w:hyperlink r:id="rId13" w:history="1">
              <w:r w:rsidR="008E404C" w:rsidRPr="00102629">
                <w:rPr>
                  <w:rStyle w:val="Hyperkobling"/>
                </w:rPr>
                <w:t>https://www.ncbi.nlm.nih.gov/pmc/articles/PMC4501245/</w:t>
              </w:r>
            </w:hyperlink>
          </w:p>
          <w:p w14:paraId="38DA537E" w14:textId="7E5CABF5" w:rsidR="00AD70AD" w:rsidRDefault="00AD70AD" w:rsidP="007752FA"/>
          <w:p w14:paraId="3821FF78" w14:textId="77777777" w:rsidR="000A0FC9" w:rsidRDefault="008E404C" w:rsidP="007752FA">
            <w:r>
              <w:t xml:space="preserve">Metodevarselet </w:t>
            </w:r>
            <w:r w:rsidR="0086638E">
              <w:t xml:space="preserve">omhandler således en </w:t>
            </w:r>
            <w:r w:rsidR="00090483">
              <w:t xml:space="preserve">svært </w:t>
            </w:r>
            <w:r w:rsidR="0086638E">
              <w:t xml:space="preserve">begrenset </w:t>
            </w:r>
            <w:r w:rsidR="00E752AC">
              <w:t xml:space="preserve">endring i </w:t>
            </w:r>
            <w:r w:rsidR="00FE386E">
              <w:t xml:space="preserve">den allerede godkjente </w:t>
            </w:r>
            <w:r w:rsidR="00E752AC">
              <w:t>indikasjonen for behandling</w:t>
            </w:r>
            <w:r w:rsidR="00761185">
              <w:t xml:space="preserve"> av pasienter med Glanzmanns</w:t>
            </w:r>
            <w:r w:rsidR="00C71D96">
              <w:t xml:space="preserve"> trombasteni</w:t>
            </w:r>
            <w:r w:rsidR="00DF0096">
              <w:t>.</w:t>
            </w:r>
            <w:r w:rsidR="00E949F9">
              <w:t xml:space="preserve"> Lidelsen er særdeles sjelden</w:t>
            </w:r>
            <w:r w:rsidR="00FE386E">
              <w:t>, anslags</w:t>
            </w:r>
            <w:r w:rsidR="00CF4504">
              <w:t>vis prevalens er 1:1 000 000.</w:t>
            </w:r>
            <w:r w:rsidR="00E949F9">
              <w:t xml:space="preserve"> </w:t>
            </w:r>
            <w:r w:rsidR="00DF0096">
              <w:t xml:space="preserve">Dokumentasjonsgrunnlaget er basert på et prospektivt observasjonsregister </w:t>
            </w:r>
            <w:r w:rsidR="008551A5">
              <w:t xml:space="preserve">og litteratur referanser og utgjør således ikke et egnet </w:t>
            </w:r>
            <w:r w:rsidR="00061046">
              <w:t>dokumentasjon for en metodevurdering som etterspurt</w:t>
            </w:r>
            <w:r w:rsidR="00E949F9">
              <w:t xml:space="preserve">. </w:t>
            </w:r>
          </w:p>
          <w:p w14:paraId="7602AA92" w14:textId="77777777" w:rsidR="000A0FC9" w:rsidRDefault="000A0FC9" w:rsidP="007752FA"/>
          <w:p w14:paraId="1AA38688" w14:textId="6A0D96C1" w:rsidR="00792BF9" w:rsidRPr="00AD70AD" w:rsidRDefault="001732A0" w:rsidP="001732A0">
            <w:r>
              <w:t xml:space="preserve">Metodevarselet er basert på en meget begrenset endringen i en av indikasjonene for NovoSeven og </w:t>
            </w:r>
            <w:r w:rsidR="003467B8">
              <w:t xml:space="preserve">Novo Nordisk er av den oppfatning at </w:t>
            </w:r>
            <w:r>
              <w:t xml:space="preserve">dette </w:t>
            </w:r>
            <w:r w:rsidR="00C26C70">
              <w:t>ikke ut</w:t>
            </w:r>
            <w:r w:rsidR="000A0FC9">
              <w:t>gjør et hensiktsmessig grunnlag for en metodevurdering.</w:t>
            </w:r>
          </w:p>
        </w:tc>
      </w:tr>
    </w:tbl>
    <w:p w14:paraId="7EE2F2AA" w14:textId="77777777" w:rsidR="00792BF9" w:rsidRPr="00AD70AD" w:rsidRDefault="00792BF9" w:rsidP="00792BF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792BF9" w14:paraId="6AFF9EEF" w14:textId="77777777" w:rsidTr="0086697D">
        <w:tc>
          <w:tcPr>
            <w:tcW w:w="8613" w:type="dxa"/>
          </w:tcPr>
          <w:p w14:paraId="63847168" w14:textId="48E5CD14" w:rsidR="00792BF9" w:rsidRDefault="00792BF9" w:rsidP="0086697D">
            <w:r>
              <w:t>Finnes alternativer til legemidlet som er foreslått (dere er ansvarlig for)?</w:t>
            </w:r>
            <w:r w:rsidR="0095516B">
              <w:t xml:space="preserve"> </w:t>
            </w:r>
            <w:r w:rsidR="00713510">
              <w:t>Ja</w:t>
            </w:r>
          </w:p>
        </w:tc>
      </w:tr>
      <w:tr w:rsidR="00792BF9" w14:paraId="181B5FA6" w14:textId="77777777" w:rsidTr="0086697D">
        <w:trPr>
          <w:trHeight w:val="564"/>
        </w:trPr>
        <w:tc>
          <w:tcPr>
            <w:tcW w:w="8613" w:type="dxa"/>
          </w:tcPr>
          <w:p w14:paraId="6B813633" w14:textId="77777777" w:rsidR="00792BF9" w:rsidRDefault="00792BF9" w:rsidP="0086697D">
            <w:r>
              <w:t>I så fall beskriv kortfattet:</w:t>
            </w:r>
          </w:p>
          <w:p w14:paraId="57093AA3" w14:textId="4AD2C009" w:rsidR="00DE5DD6" w:rsidRDefault="00B7343C" w:rsidP="0086697D">
            <w:r>
              <w:t xml:space="preserve">Som det fremkommer </w:t>
            </w:r>
            <w:r w:rsidR="00B434D0">
              <w:t xml:space="preserve">av metodevarselet finnes det alternativer til </w:t>
            </w:r>
            <w:r w:rsidR="00B434D0" w:rsidRPr="00B434D0">
              <w:t>behandling av blødninger hos pasienter med Ganzmanns</w:t>
            </w:r>
            <w:r w:rsidR="00CD0BB9">
              <w:t xml:space="preserve">, man er imidlertid </w:t>
            </w:r>
            <w:r w:rsidR="00B434D0" w:rsidRPr="00B434D0">
              <w:t>tilbakeholden med å gi blodplatetranfusjoner fordi pasientene lett kan danne antistoffer mot blodplatene</w:t>
            </w:r>
            <w:r w:rsidR="00BA08E2">
              <w:t xml:space="preserve">. </w:t>
            </w:r>
          </w:p>
        </w:tc>
      </w:tr>
    </w:tbl>
    <w:p w14:paraId="6D313460" w14:textId="77777777" w:rsidR="00792BF9" w:rsidRDefault="00792BF9" w:rsidP="00792BF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792BF9" w14:paraId="5D0E7ACA" w14:textId="77777777" w:rsidTr="0086697D">
        <w:tc>
          <w:tcPr>
            <w:tcW w:w="8613" w:type="dxa"/>
          </w:tcPr>
          <w:p w14:paraId="13B3353F" w14:textId="77777777" w:rsidR="00792BF9" w:rsidRDefault="00792BF9" w:rsidP="0086697D">
            <w:r>
              <w:t>Øvrige kommentarer</w:t>
            </w:r>
          </w:p>
        </w:tc>
      </w:tr>
      <w:tr w:rsidR="00792BF9" w14:paraId="2B0518A0" w14:textId="77777777" w:rsidTr="0086697D">
        <w:trPr>
          <w:trHeight w:val="593"/>
        </w:trPr>
        <w:tc>
          <w:tcPr>
            <w:tcW w:w="8613" w:type="dxa"/>
          </w:tcPr>
          <w:p w14:paraId="0F898D79" w14:textId="77777777" w:rsidR="00792BF9" w:rsidRDefault="00792BF9" w:rsidP="0086697D"/>
        </w:tc>
      </w:tr>
    </w:tbl>
    <w:p w14:paraId="7D8E7868" w14:textId="77777777" w:rsidR="00792BF9" w:rsidRDefault="00792BF9" w:rsidP="00792BF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792BF9" w14:paraId="7A94D76B" w14:textId="77777777" w:rsidTr="0086697D">
        <w:tc>
          <w:tcPr>
            <w:tcW w:w="8613" w:type="dxa"/>
          </w:tcPr>
          <w:p w14:paraId="5DAE1628" w14:textId="77777777" w:rsidR="00792BF9" w:rsidRDefault="00792BF9" w:rsidP="0086697D">
            <w:r>
              <w:t>Ønsker dere å bidra med dokumentasjon som etterspørres dersom Bestillerforum RHF beslutter at det skal gjennomføres en metodevurdering på bakgrunn av forslaget/metodevarsel?</w:t>
            </w:r>
          </w:p>
        </w:tc>
      </w:tr>
      <w:tr w:rsidR="00792BF9" w14:paraId="4AAFCAEF" w14:textId="77777777" w:rsidTr="0086697D">
        <w:trPr>
          <w:trHeight w:val="536"/>
        </w:trPr>
        <w:tc>
          <w:tcPr>
            <w:tcW w:w="8613" w:type="dxa"/>
          </w:tcPr>
          <w:p w14:paraId="3B190A60" w14:textId="665A2531" w:rsidR="00792BF9" w:rsidRDefault="00964223" w:rsidP="0086697D">
            <w:r>
              <w:t xml:space="preserve">Nei, dokumentasjonen </w:t>
            </w:r>
            <w:r w:rsidR="00E81E8C">
              <w:t>f</w:t>
            </w:r>
            <w:r>
              <w:t xml:space="preserve">or indikasjonsendringen </w:t>
            </w:r>
            <w:r w:rsidR="00E81E8C">
              <w:t xml:space="preserve">utgjør ikke grunnlag for en hensiktsmessig metodevurdering. </w:t>
            </w:r>
          </w:p>
        </w:tc>
      </w:tr>
    </w:tbl>
    <w:p w14:paraId="5509064B" w14:textId="77777777" w:rsidR="00792BF9" w:rsidRDefault="00792BF9" w:rsidP="00792BF9"/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8613"/>
      </w:tblGrid>
      <w:tr w:rsidR="00792BF9" w:rsidRPr="00211759" w14:paraId="6FBDD7A4" w14:textId="77777777" w:rsidTr="0086697D">
        <w:tc>
          <w:tcPr>
            <w:tcW w:w="8613" w:type="dxa"/>
          </w:tcPr>
          <w:p w14:paraId="5643526C" w14:textId="77777777" w:rsidR="00792BF9" w:rsidRPr="00211759" w:rsidRDefault="00792BF9" w:rsidP="000F6B93">
            <w:r w:rsidRPr="00211759">
              <w:rPr>
                <w:b/>
              </w:rPr>
              <w:t>Interesser og eventuelle interessekonflikter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>-til den leverandør/produsent som sender inn dette innspill</w:t>
            </w:r>
            <w:r w:rsidRPr="00211759">
              <w:br/>
              <w:t>Beskriv</w:t>
            </w:r>
            <w:r>
              <w:t xml:space="preserve"> </w:t>
            </w:r>
            <w:r w:rsidRPr="00211759">
              <w:t>relasjoner eller aktiviteter som kan påvirke, påvirkes av eller oppfattes av andre å ha betydning for den videre håndteringen av metoden som foreslås metodevurdert. (Eksemp</w:t>
            </w:r>
            <w:r>
              <w:t>el</w:t>
            </w:r>
            <w:r w:rsidRPr="00211759">
              <w:t xml:space="preserve">: </w:t>
            </w:r>
            <w:r>
              <w:t>Økonomiske interesser i saken</w:t>
            </w:r>
            <w:r w:rsidRPr="00211759">
              <w:t>.)</w:t>
            </w:r>
          </w:p>
        </w:tc>
      </w:tr>
      <w:tr w:rsidR="00792BF9" w:rsidRPr="00211759" w14:paraId="57A88932" w14:textId="77777777" w:rsidTr="0086697D">
        <w:trPr>
          <w:trHeight w:val="1041"/>
        </w:trPr>
        <w:tc>
          <w:tcPr>
            <w:tcW w:w="8613" w:type="dxa"/>
          </w:tcPr>
          <w:p w14:paraId="16E9BEDD" w14:textId="77777777" w:rsidR="00792BF9" w:rsidRDefault="00287FF1" w:rsidP="0086697D">
            <w:r>
              <w:t>Beskriv kortfattet:</w:t>
            </w:r>
          </w:p>
          <w:p w14:paraId="6106A9AF" w14:textId="5A66F311" w:rsidR="00E464F6" w:rsidRPr="00211759" w:rsidRDefault="00E464F6" w:rsidP="0086697D">
            <w:r>
              <w:t>Jan Marcus Sverre er ansatt i firmaet Novo Nordisk som er leverandør av Novo Seve</w:t>
            </w:r>
            <w:r w:rsidR="00576E5B">
              <w:t>n®</w:t>
            </w:r>
          </w:p>
        </w:tc>
      </w:tr>
    </w:tbl>
    <w:p w14:paraId="77A42F35" w14:textId="77777777" w:rsidR="00792BF9" w:rsidRDefault="00792BF9" w:rsidP="00792BF9"/>
    <w:p w14:paraId="70B4019B" w14:textId="6E66426E" w:rsidR="00792BF9" w:rsidRDefault="00792BF9" w:rsidP="00792BF9">
      <w:pPr>
        <w:spacing w:after="0"/>
      </w:pPr>
      <w:r w:rsidRPr="005328C1">
        <w:t>Sted, dato</w:t>
      </w:r>
    </w:p>
    <w:p w14:paraId="640F60BB" w14:textId="7A4911CD" w:rsidR="00D35974" w:rsidRPr="00C840E7" w:rsidRDefault="00D35974" w:rsidP="00792BF9">
      <w:pPr>
        <w:spacing w:after="0"/>
      </w:pPr>
      <w:r w:rsidRPr="00C840E7">
        <w:t>Oslo, 19/11-201</w:t>
      </w:r>
      <w:r w:rsidR="00E626C1" w:rsidRPr="00C840E7">
        <w:t>9</w:t>
      </w:r>
    </w:p>
    <w:p w14:paraId="44AE932A" w14:textId="77777777" w:rsidR="00792BF9" w:rsidRPr="00C840E7" w:rsidRDefault="00792BF9" w:rsidP="00792BF9">
      <w:pPr>
        <w:spacing w:after="0"/>
      </w:pPr>
      <w:r w:rsidRPr="00C840E7">
        <w:t>Firmanavn</w:t>
      </w:r>
    </w:p>
    <w:p w14:paraId="785095D6" w14:textId="4206644F" w:rsidR="00792BF9" w:rsidRPr="00C840E7" w:rsidRDefault="00E626C1" w:rsidP="00792BF9">
      <w:pPr>
        <w:spacing w:after="0"/>
      </w:pPr>
      <w:r w:rsidRPr="00C840E7">
        <w:t>Novo Nordisk</w:t>
      </w:r>
    </w:p>
    <w:p w14:paraId="47E9C74A" w14:textId="77777777" w:rsidR="00792BF9" w:rsidRPr="00C840E7" w:rsidRDefault="00792BF9" w:rsidP="00792BF9">
      <w:pPr>
        <w:spacing w:after="0"/>
      </w:pPr>
      <w:r w:rsidRPr="00C840E7">
        <w:t>Navn</w:t>
      </w:r>
    </w:p>
    <w:p w14:paraId="4842F65E" w14:textId="1C9FFF72" w:rsidR="00640BA3" w:rsidRPr="00640BA3" w:rsidRDefault="00E626C1" w:rsidP="00640BA3">
      <w:pPr>
        <w:rPr>
          <w:lang w:val="en-GB"/>
        </w:rPr>
      </w:pPr>
      <w:r w:rsidRPr="00640BA3">
        <w:rPr>
          <w:lang w:val="en-GB"/>
        </w:rPr>
        <w:t>Jan Marcus Sverre</w:t>
      </w:r>
      <w:r w:rsidR="00640BA3" w:rsidRPr="00640BA3">
        <w:rPr>
          <w:lang w:val="en-GB"/>
        </w:rPr>
        <w:br/>
      </w:r>
      <w:r w:rsidRPr="00640BA3">
        <w:rPr>
          <w:lang w:val="en-GB"/>
        </w:rPr>
        <w:t>Tlf 41 4</w:t>
      </w:r>
      <w:r w:rsidR="00640BA3" w:rsidRPr="00640BA3">
        <w:rPr>
          <w:lang w:val="en-GB"/>
        </w:rPr>
        <w:t>7 18 28</w:t>
      </w:r>
      <w:r w:rsidR="00640BA3" w:rsidRPr="00640BA3">
        <w:rPr>
          <w:lang w:val="en-GB"/>
        </w:rPr>
        <w:br/>
        <w:t>Mail: jnsv@novonordisk.com</w:t>
      </w:r>
    </w:p>
    <w:sectPr w:rsidR="00640BA3" w:rsidRPr="00640BA3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F3E34" w14:textId="77777777" w:rsidR="00143DA5" w:rsidRDefault="00143DA5" w:rsidP="00CB7C65">
      <w:pPr>
        <w:spacing w:after="0" w:line="240" w:lineRule="auto"/>
      </w:pPr>
      <w:r>
        <w:separator/>
      </w:r>
    </w:p>
  </w:endnote>
  <w:endnote w:type="continuationSeparator" w:id="0">
    <w:p w14:paraId="6C267726" w14:textId="77777777" w:rsidR="00143DA5" w:rsidRDefault="00143DA5" w:rsidP="00CB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537204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A5E4906" w14:textId="00CEC34B" w:rsidR="000F6B93" w:rsidRDefault="000F6B93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50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50A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2466A9" w14:textId="77777777" w:rsidR="000F6B93" w:rsidRDefault="000F6B9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8EFED" w14:textId="77777777" w:rsidR="00143DA5" w:rsidRDefault="00143DA5" w:rsidP="00CB7C65">
      <w:pPr>
        <w:spacing w:after="0" w:line="240" w:lineRule="auto"/>
      </w:pPr>
      <w:r>
        <w:separator/>
      </w:r>
    </w:p>
  </w:footnote>
  <w:footnote w:type="continuationSeparator" w:id="0">
    <w:p w14:paraId="71979A47" w14:textId="77777777" w:rsidR="00143DA5" w:rsidRDefault="00143DA5" w:rsidP="00CB7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242D5" w14:textId="77777777" w:rsidR="00CB7C65" w:rsidRDefault="004C0E4A">
    <w:pPr>
      <w:pStyle w:val="Topptekst"/>
    </w:pPr>
    <w:r w:rsidRPr="004C0E4A">
      <w:rPr>
        <w:noProof/>
        <w:lang w:eastAsia="nb-NO"/>
      </w:rPr>
      <w:drawing>
        <wp:inline distT="0" distB="0" distL="0" distR="0" wp14:anchorId="4AC627BD" wp14:editId="2EEF6776">
          <wp:extent cx="1293992" cy="146687"/>
          <wp:effectExtent l="0" t="0" r="1905" b="5715"/>
          <wp:docPr id="7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3992" cy="146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92BF9">
      <w:tab/>
    </w:r>
    <w:r w:rsidR="00792BF9">
      <w:tab/>
      <w:t>v 3.0 15.02.2017</w:t>
    </w:r>
  </w:p>
  <w:p w14:paraId="5F4AB8EC" w14:textId="77777777" w:rsidR="00CB7C65" w:rsidRDefault="00CB7C6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5B3"/>
    <w:multiLevelType w:val="hybridMultilevel"/>
    <w:tmpl w:val="B288A9D0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C2C42"/>
    <w:multiLevelType w:val="hybridMultilevel"/>
    <w:tmpl w:val="3AE0F1D6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86DCC"/>
    <w:multiLevelType w:val="hybridMultilevel"/>
    <w:tmpl w:val="01C2B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F1CF2"/>
    <w:multiLevelType w:val="hybridMultilevel"/>
    <w:tmpl w:val="55FADC7E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51370"/>
    <w:multiLevelType w:val="hybridMultilevel"/>
    <w:tmpl w:val="E04ECF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C0733"/>
    <w:multiLevelType w:val="hybridMultilevel"/>
    <w:tmpl w:val="9A729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0743E"/>
    <w:multiLevelType w:val="hybridMultilevel"/>
    <w:tmpl w:val="9DDCA3F6"/>
    <w:lvl w:ilvl="0" w:tplc="0406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Times New Roman" w:hAnsi="Times New Roman" w:cs="Times New Roman" w:hint="default"/>
      </w:rPr>
    </w:lvl>
    <w:lvl w:ilvl="3" w:tplc="0406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Times New Roman" w:hAnsi="Times New Roman" w:cs="Times New Roman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E984479"/>
    <w:multiLevelType w:val="hybridMultilevel"/>
    <w:tmpl w:val="0F80EABA"/>
    <w:lvl w:ilvl="0" w:tplc="185CF8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7EE45819"/>
    <w:multiLevelType w:val="hybridMultilevel"/>
    <w:tmpl w:val="E782FA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65"/>
    <w:rsid w:val="00022462"/>
    <w:rsid w:val="00050590"/>
    <w:rsid w:val="00057B3D"/>
    <w:rsid w:val="00061046"/>
    <w:rsid w:val="00076738"/>
    <w:rsid w:val="00090483"/>
    <w:rsid w:val="000A0FC9"/>
    <w:rsid w:val="000B50DC"/>
    <w:rsid w:val="000F2320"/>
    <w:rsid w:val="000F6B93"/>
    <w:rsid w:val="00143DA5"/>
    <w:rsid w:val="001732A0"/>
    <w:rsid w:val="00173542"/>
    <w:rsid w:val="001750C0"/>
    <w:rsid w:val="00207B6A"/>
    <w:rsid w:val="00282DCD"/>
    <w:rsid w:val="00287FF1"/>
    <w:rsid w:val="003278CA"/>
    <w:rsid w:val="003467B8"/>
    <w:rsid w:val="0038658A"/>
    <w:rsid w:val="003A0FDE"/>
    <w:rsid w:val="003C67C4"/>
    <w:rsid w:val="003F12DC"/>
    <w:rsid w:val="004538A4"/>
    <w:rsid w:val="00457E47"/>
    <w:rsid w:val="00482A88"/>
    <w:rsid w:val="004969CE"/>
    <w:rsid w:val="004B50AB"/>
    <w:rsid w:val="004C0E4A"/>
    <w:rsid w:val="004D5DC9"/>
    <w:rsid w:val="00524A13"/>
    <w:rsid w:val="00530EF2"/>
    <w:rsid w:val="00576E5B"/>
    <w:rsid w:val="005B1DFF"/>
    <w:rsid w:val="005E11C0"/>
    <w:rsid w:val="005F626F"/>
    <w:rsid w:val="00640BA3"/>
    <w:rsid w:val="0064254A"/>
    <w:rsid w:val="00654D66"/>
    <w:rsid w:val="00663E14"/>
    <w:rsid w:val="006B5E30"/>
    <w:rsid w:val="006C281E"/>
    <w:rsid w:val="006D6E4B"/>
    <w:rsid w:val="006F075A"/>
    <w:rsid w:val="006F319B"/>
    <w:rsid w:val="00713510"/>
    <w:rsid w:val="00750F80"/>
    <w:rsid w:val="00756189"/>
    <w:rsid w:val="00761185"/>
    <w:rsid w:val="007752FA"/>
    <w:rsid w:val="00792BF9"/>
    <w:rsid w:val="007C02F8"/>
    <w:rsid w:val="007E1AC1"/>
    <w:rsid w:val="00810846"/>
    <w:rsid w:val="008551A5"/>
    <w:rsid w:val="0086638E"/>
    <w:rsid w:val="008708C9"/>
    <w:rsid w:val="008B4F74"/>
    <w:rsid w:val="008B6D2F"/>
    <w:rsid w:val="008E404C"/>
    <w:rsid w:val="008E4EAB"/>
    <w:rsid w:val="0095516B"/>
    <w:rsid w:val="00955918"/>
    <w:rsid w:val="00964223"/>
    <w:rsid w:val="009A2711"/>
    <w:rsid w:val="009C220B"/>
    <w:rsid w:val="009E45D5"/>
    <w:rsid w:val="00A238FC"/>
    <w:rsid w:val="00A2476C"/>
    <w:rsid w:val="00A274AE"/>
    <w:rsid w:val="00A543E0"/>
    <w:rsid w:val="00A57CD2"/>
    <w:rsid w:val="00A615C9"/>
    <w:rsid w:val="00A85337"/>
    <w:rsid w:val="00A872F2"/>
    <w:rsid w:val="00AB095F"/>
    <w:rsid w:val="00AB2212"/>
    <w:rsid w:val="00AC456F"/>
    <w:rsid w:val="00AD70AD"/>
    <w:rsid w:val="00AE6856"/>
    <w:rsid w:val="00B00E75"/>
    <w:rsid w:val="00B434D0"/>
    <w:rsid w:val="00B53BEE"/>
    <w:rsid w:val="00B55123"/>
    <w:rsid w:val="00B62381"/>
    <w:rsid w:val="00B7343C"/>
    <w:rsid w:val="00B81729"/>
    <w:rsid w:val="00BA08E2"/>
    <w:rsid w:val="00BB2868"/>
    <w:rsid w:val="00BC0B78"/>
    <w:rsid w:val="00BC1222"/>
    <w:rsid w:val="00BD31B0"/>
    <w:rsid w:val="00C26C70"/>
    <w:rsid w:val="00C71D96"/>
    <w:rsid w:val="00C745AD"/>
    <w:rsid w:val="00C840E7"/>
    <w:rsid w:val="00C8423D"/>
    <w:rsid w:val="00C85D5E"/>
    <w:rsid w:val="00CB7C65"/>
    <w:rsid w:val="00CB7D03"/>
    <w:rsid w:val="00CD0BB9"/>
    <w:rsid w:val="00CF4504"/>
    <w:rsid w:val="00D17D59"/>
    <w:rsid w:val="00D35974"/>
    <w:rsid w:val="00D75393"/>
    <w:rsid w:val="00D95FAC"/>
    <w:rsid w:val="00DA2091"/>
    <w:rsid w:val="00DB5230"/>
    <w:rsid w:val="00DE5DD6"/>
    <w:rsid w:val="00DF0096"/>
    <w:rsid w:val="00DF78F2"/>
    <w:rsid w:val="00E32F93"/>
    <w:rsid w:val="00E41B2F"/>
    <w:rsid w:val="00E464F6"/>
    <w:rsid w:val="00E626C1"/>
    <w:rsid w:val="00E648F4"/>
    <w:rsid w:val="00E72EB4"/>
    <w:rsid w:val="00E752AC"/>
    <w:rsid w:val="00E81E8C"/>
    <w:rsid w:val="00E83A05"/>
    <w:rsid w:val="00E949F9"/>
    <w:rsid w:val="00EB76EF"/>
    <w:rsid w:val="00EF3FF8"/>
    <w:rsid w:val="00F123A9"/>
    <w:rsid w:val="00F602BF"/>
    <w:rsid w:val="00F64F9C"/>
    <w:rsid w:val="00F83D19"/>
    <w:rsid w:val="00F91C03"/>
    <w:rsid w:val="00FE386E"/>
    <w:rsid w:val="00FE69AC"/>
    <w:rsid w:val="00FF6046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6FDB15"/>
  <w15:docId w15:val="{F7690471-ED27-4BA2-B12A-1DAB892B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BF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B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B7C65"/>
  </w:style>
  <w:style w:type="paragraph" w:styleId="Bunntekst">
    <w:name w:val="footer"/>
    <w:basedOn w:val="Normal"/>
    <w:link w:val="BunntekstTegn"/>
    <w:uiPriority w:val="99"/>
    <w:unhideWhenUsed/>
    <w:rsid w:val="00CB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B7C65"/>
  </w:style>
  <w:style w:type="paragraph" w:styleId="Bobletekst">
    <w:name w:val="Balloon Text"/>
    <w:basedOn w:val="Normal"/>
    <w:link w:val="BobletekstTegn"/>
    <w:uiPriority w:val="99"/>
    <w:semiHidden/>
    <w:unhideWhenUsed/>
    <w:rsid w:val="00CB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7C6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B7C65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C745AD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745A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745AD"/>
    <w:rPr>
      <w:vertAlign w:val="superscript"/>
    </w:rPr>
  </w:style>
  <w:style w:type="table" w:styleId="Tabellrutenett">
    <w:name w:val="Table Grid"/>
    <w:basedOn w:val="Vanligtabell"/>
    <w:uiPriority w:val="59"/>
    <w:rsid w:val="00792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uiPriority w:val="59"/>
    <w:rsid w:val="00792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A615C9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A615C9"/>
    <w:rPr>
      <w:color w:val="605E5C"/>
      <w:shd w:val="clear" w:color="auto" w:fill="E1DFDD"/>
    </w:rPr>
  </w:style>
  <w:style w:type="paragraph" w:styleId="Brdtekst">
    <w:name w:val="Body Text"/>
    <w:basedOn w:val="Normal"/>
    <w:link w:val="BrdtekstTegn"/>
    <w:uiPriority w:val="99"/>
    <w:semiHidden/>
    <w:unhideWhenUsed/>
    <w:rsid w:val="00D75393"/>
    <w:pPr>
      <w:snapToGrid w:val="0"/>
      <w:spacing w:after="0" w:line="260" w:lineRule="exact"/>
    </w:pPr>
    <w:rPr>
      <w:rFonts w:ascii="Times New Roman" w:eastAsiaTheme="minorEastAsia" w:hAnsi="Times New Roman" w:cs="Times New Roman"/>
      <w:b/>
      <w:bCs/>
      <w:i/>
      <w:iCs/>
      <w:lang w:val="en-GB" w:eastAsia="nb-NO" w:bidi="he-IL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75393"/>
    <w:rPr>
      <w:rFonts w:ascii="Times New Roman" w:eastAsiaTheme="minorEastAsia" w:hAnsi="Times New Roman" w:cs="Times New Roman"/>
      <w:b/>
      <w:bCs/>
      <w:i/>
      <w:iCs/>
      <w:lang w:val="en-GB" w:eastAsia="nb-NO" w:bidi="he-IL"/>
    </w:rPr>
  </w:style>
  <w:style w:type="paragraph" w:customStyle="1" w:styleId="emea">
    <w:name w:val="emea"/>
    <w:basedOn w:val="Normal"/>
    <w:rsid w:val="00D75393"/>
    <w:pPr>
      <w:snapToGrid w:val="0"/>
      <w:spacing w:after="0" w:line="240" w:lineRule="auto"/>
    </w:pPr>
    <w:rPr>
      <w:rFonts w:ascii="Times New Roman" w:eastAsiaTheme="minorEastAsia" w:hAnsi="Times New Roman" w:cs="Times New Roman"/>
      <w:b/>
      <w:bCs/>
      <w:caps/>
      <w:lang w:val="en-GB" w:eastAsia="nb-NO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6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cbi.nlm.nih.gov/pmc/articles/PMC4501245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jeldnediagnoser.no/home/sjeldnediagnoser/Trombocyttsykdommer/856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ma.europa.eu/en/documents/variation-report/novoseven-h-c-000074-ii-0104-epar-assessment-report-variation_en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jnsv@novonordisk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678E250B5154BA48D58577F8DAB50" ma:contentTypeVersion="1" ma:contentTypeDescription="Opprett et nytt dokument." ma:contentTypeScope="" ma:versionID="45fce420bd05123b64406ae8179a28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8fcb2e5a7bd60766267fa170e0d6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958DE1-9B8C-43F1-B5B6-148CBEE8F4C6}"/>
</file>

<file path=customXml/itemProps2.xml><?xml version="1.0" encoding="utf-8"?>
<ds:datastoreItem xmlns:ds="http://schemas.openxmlformats.org/officeDocument/2006/customXml" ds:itemID="{98A57EB9-5ECA-41C2-974B-B8943BCE00E0}"/>
</file>

<file path=customXml/itemProps3.xml><?xml version="1.0" encoding="utf-8"?>
<ds:datastoreItem xmlns:ds="http://schemas.openxmlformats.org/officeDocument/2006/customXml" ds:itemID="{C2742545-10B9-48EA-94D1-32F572B69A15}"/>
</file>

<file path=docProps/app.xml><?xml version="1.0" encoding="utf-8"?>
<Properties xmlns="http://schemas.openxmlformats.org/officeDocument/2006/extended-properties" xmlns:vt="http://schemas.openxmlformats.org/officeDocument/2006/docPropsVTypes">
  <Template>CB12DCA0</Template>
  <TotalTime>0</TotalTime>
  <Pages>4</Pages>
  <Words>1147</Words>
  <Characters>6083</Characters>
  <Application>Microsoft Office Word</Application>
  <DocSecurity>4</DocSecurity>
  <Lines>50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Helsedirektoratet</Company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Skilhagen Thormodsen</dc:creator>
  <cp:lastModifiedBy>Helene Örthagen</cp:lastModifiedBy>
  <cp:revision>2</cp:revision>
  <dcterms:created xsi:type="dcterms:W3CDTF">2019-12-05T07:17:00Z</dcterms:created>
  <dcterms:modified xsi:type="dcterms:W3CDTF">2019-12-05T07:17:00Z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0x01010035C678E250B5154BA48D58577F8DAB50</vt:lpwstr>
  </property>
</Properties>
</file>